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co-authored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Gittell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Brandeis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livelihoods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bushfires.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orchestrate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Interdependence,.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problem-solving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24/7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non-bank.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not-for-profit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 Sebastian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reciprocal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cisr.mit.edu.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CISR Podcast - May 2022 V2 (Completed  05/19/22)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19,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Fh3SoUg1VLZvuUGeEywob4h44LUp1lh5LWcQBD3OP1WF4nUmA8GxT6-kOM5_t9eHYdPXqgiV029pfK184eHi2_tRd6U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