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B00C" w14:textId="0ADEE08B" w:rsidR="00790B5F" w:rsidRDefault="00790B5F" w:rsidP="00790B5F">
      <w:r w:rsidRPr="00203668">
        <w:t>Speaker 1:</w:t>
      </w:r>
      <w:r w:rsidRPr="00203668">
        <w:tab/>
        <w:t>Welcome to the MIT CISR Research Briefing series. The center for information systems research is based at the Sloan School of Management at MIT. We study digital transformation.</w:t>
      </w:r>
    </w:p>
    <w:p w14:paraId="3FC5E5B7" w14:textId="77777777" w:rsidR="00790B5F" w:rsidRDefault="00790B5F" w:rsidP="00790B5F"/>
    <w:p w14:paraId="0DC8151F" w14:textId="61D6E78F" w:rsidR="004443A3" w:rsidRPr="00790B5F" w:rsidRDefault="00790B5F" w:rsidP="00790B5F">
      <w:r w:rsidRPr="00790B5F">
        <w:t xml:space="preserve">Stephanie </w:t>
      </w:r>
      <w:proofErr w:type="spellStart"/>
      <w:proofErr w:type="gramStart"/>
      <w:r w:rsidRPr="00790B5F">
        <w:t>Woerner</w:t>
      </w:r>
      <w:r>
        <w:t>:</w:t>
      </w:r>
      <w:r w:rsidR="004443A3" w:rsidRPr="00790B5F">
        <w:t>Hi</w:t>
      </w:r>
      <w:proofErr w:type="spellEnd"/>
      <w:proofErr w:type="gramEnd"/>
      <w:r w:rsidR="004443A3" w:rsidRPr="00790B5F">
        <w:t xml:space="preserve">, I’m Stephanie </w:t>
      </w:r>
      <w:proofErr w:type="spellStart"/>
      <w:r w:rsidR="004443A3" w:rsidRPr="00790B5F">
        <w:t>Woerner</w:t>
      </w:r>
      <w:proofErr w:type="spellEnd"/>
      <w:r w:rsidR="004443A3" w:rsidRPr="00790B5F">
        <w:t>, a research scientist with MIT CISR. Today I’m excited</w:t>
      </w:r>
      <w:r>
        <w:t xml:space="preserve"> </w:t>
      </w:r>
      <w:r w:rsidR="004443A3" w:rsidRPr="00790B5F">
        <w:t>to share with you the October 2022 research briefing that I co-authored with Ina Sebastian and Peter Weill—</w:t>
      </w:r>
    </w:p>
    <w:p w14:paraId="331D9EA6" w14:textId="77777777" w:rsidR="00B41010" w:rsidRPr="00790B5F" w:rsidRDefault="00B41010" w:rsidP="00790B5F"/>
    <w:p w14:paraId="2C655622" w14:textId="22B2F4AB" w:rsidR="002E515D" w:rsidRPr="00790B5F" w:rsidRDefault="00654E5A" w:rsidP="00790B5F">
      <w:r w:rsidRPr="00790B5F">
        <w:t xml:space="preserve">Five Actions </w:t>
      </w:r>
      <w:r w:rsidR="00E16B1E" w:rsidRPr="00790B5F">
        <w:t xml:space="preserve">Leaders Must Get Right </w:t>
      </w:r>
      <w:r w:rsidRPr="00790B5F">
        <w:t>to Get to Future Ready</w:t>
      </w:r>
    </w:p>
    <w:p w14:paraId="5511918A" w14:textId="6E44A6F4" w:rsidR="00FD3DA3" w:rsidRPr="00790B5F" w:rsidRDefault="00FD3DA3" w:rsidP="00790B5F"/>
    <w:p w14:paraId="1E51F00A" w14:textId="0C7E47EC" w:rsidR="00F945AD" w:rsidRDefault="000262D5" w:rsidP="00790B5F">
      <w:r w:rsidRPr="00790B5F">
        <w:t xml:space="preserve">Transforming a </w:t>
      </w:r>
      <w:r w:rsidR="00186EEC" w:rsidRPr="00790B5F">
        <w:t>company</w:t>
      </w:r>
      <w:r w:rsidRPr="00790B5F">
        <w:t xml:space="preserve"> to succeed in the digital economy requires a vision</w:t>
      </w:r>
      <w:r w:rsidR="00186EEC" w:rsidRPr="00790B5F">
        <w:t>—</w:t>
      </w:r>
      <w:r w:rsidRPr="00790B5F">
        <w:t xml:space="preserve">and a playbook to help leaders deliver on that vision, </w:t>
      </w:r>
      <w:r w:rsidR="008E7C3E" w:rsidRPr="00790B5F">
        <w:t xml:space="preserve">communicate with markets, </w:t>
      </w:r>
      <w:r w:rsidRPr="00790B5F">
        <w:t xml:space="preserve">motivate employees, and keep everyone focused on a common goal as they work to create new value in an increasingly digital world. </w:t>
      </w:r>
      <w:r w:rsidR="0076780E" w:rsidRPr="00790B5F">
        <w:t>In our recently published book</w:t>
      </w:r>
      <w:r w:rsidR="00275115" w:rsidRPr="00790B5F">
        <w:t xml:space="preserve">, Future Ready: The Four Pathways to Capturing Digital Value, which was </w:t>
      </w:r>
      <w:r w:rsidR="0076780E" w:rsidRPr="00790B5F">
        <w:t xml:space="preserve">based on </w:t>
      </w:r>
      <w:r w:rsidR="005F1573" w:rsidRPr="00790B5F">
        <w:t xml:space="preserve">more than </w:t>
      </w:r>
      <w:r w:rsidR="0076780E" w:rsidRPr="00790B5F">
        <w:t xml:space="preserve">five years of </w:t>
      </w:r>
      <w:r w:rsidR="00FA2C40" w:rsidRPr="00790B5F">
        <w:t xml:space="preserve">MIT CISR </w:t>
      </w:r>
      <w:r w:rsidR="0076780E" w:rsidRPr="00790B5F">
        <w:t>research</w:t>
      </w:r>
      <w:r w:rsidR="005F1573" w:rsidRPr="00790B5F">
        <w:t>,</w:t>
      </w:r>
      <w:r w:rsidR="0076780E" w:rsidRPr="00790B5F">
        <w:t xml:space="preserve"> we identif</w:t>
      </w:r>
      <w:r w:rsidR="0003116B" w:rsidRPr="00790B5F">
        <w:t>ied</w:t>
      </w:r>
      <w:r w:rsidR="004B646B" w:rsidRPr="00790B5F">
        <w:t xml:space="preserve"> </w:t>
      </w:r>
      <w:r w:rsidR="000D2C92" w:rsidRPr="00790B5F">
        <w:t xml:space="preserve">five actions </w:t>
      </w:r>
      <w:r w:rsidR="003A3AC3" w:rsidRPr="00790B5F">
        <w:t xml:space="preserve">comprising the journey that we recommend companies take to ensure their transformation to future ready is successful. These actions are a summary of what a company must get right in the transformation, and they help leaders prioritize their efforts. </w:t>
      </w:r>
      <w:r w:rsidR="00F945AD" w:rsidRPr="00790B5F">
        <w:t>In this research briefing, we describe the</w:t>
      </w:r>
      <w:r w:rsidR="002D73A7" w:rsidRPr="00790B5F">
        <w:t xml:space="preserve"> five</w:t>
      </w:r>
      <w:r w:rsidR="00F945AD" w:rsidRPr="00790B5F">
        <w:t xml:space="preserve"> actions and illustrate them with a case study from CEMEX.</w:t>
      </w:r>
    </w:p>
    <w:p w14:paraId="6399DC95" w14:textId="77777777" w:rsidR="00790B5F" w:rsidRPr="00790B5F" w:rsidRDefault="00790B5F" w:rsidP="00790B5F"/>
    <w:p w14:paraId="01EE75DC" w14:textId="5571039D" w:rsidR="00F945AD" w:rsidRPr="00790B5F" w:rsidRDefault="001A0126" w:rsidP="00790B5F">
      <w:r w:rsidRPr="00790B5F">
        <w:t>Managing</w:t>
      </w:r>
      <w:r w:rsidR="00653A41" w:rsidRPr="00790B5F">
        <w:t xml:space="preserve"> a </w:t>
      </w:r>
      <w:r w:rsidR="005F1573" w:rsidRPr="00790B5F">
        <w:t>D</w:t>
      </w:r>
      <w:r w:rsidR="008E1439" w:rsidRPr="00790B5F">
        <w:t>igital</w:t>
      </w:r>
      <w:r w:rsidR="0080226F" w:rsidRPr="00790B5F">
        <w:t xml:space="preserve">ly </w:t>
      </w:r>
      <w:r w:rsidR="005F1573" w:rsidRPr="00790B5F">
        <w:t>E</w:t>
      </w:r>
      <w:r w:rsidR="0080226F" w:rsidRPr="00790B5F">
        <w:t>nabled</w:t>
      </w:r>
      <w:r w:rsidR="008E1439" w:rsidRPr="00790B5F">
        <w:t xml:space="preserve"> </w:t>
      </w:r>
      <w:r w:rsidR="005F1573" w:rsidRPr="00790B5F">
        <w:t>B</w:t>
      </w:r>
      <w:r w:rsidR="008E1439" w:rsidRPr="00790B5F">
        <w:t xml:space="preserve">usiness </w:t>
      </w:r>
      <w:r w:rsidR="005F1573" w:rsidRPr="00790B5F">
        <w:t>T</w:t>
      </w:r>
      <w:r w:rsidR="008E1439" w:rsidRPr="00790B5F">
        <w:t>ransformation</w:t>
      </w:r>
      <w:r w:rsidR="00653A41" w:rsidRPr="00790B5F">
        <w:t xml:space="preserve"> </w:t>
      </w:r>
    </w:p>
    <w:p w14:paraId="06DB3A56" w14:textId="23024B04" w:rsidR="00EB0923" w:rsidRPr="00790B5F" w:rsidRDefault="00EB0923" w:rsidP="00790B5F"/>
    <w:p w14:paraId="65D317CB" w14:textId="442E44B2" w:rsidR="00EB0923" w:rsidRPr="00790B5F" w:rsidRDefault="00EB0923" w:rsidP="00790B5F">
      <w:r w:rsidRPr="00790B5F">
        <w:t>Once leaders have a deep understanding of the competitive opportunities digital creates and a shared commitment to devote time</w:t>
      </w:r>
      <w:r w:rsidR="000D2C92" w:rsidRPr="00790B5F">
        <w:t xml:space="preserve"> and resources</w:t>
      </w:r>
      <w:r w:rsidRPr="00790B5F">
        <w:t xml:space="preserve"> to the </w:t>
      </w:r>
      <w:r w:rsidR="00645B5C" w:rsidRPr="00790B5F">
        <w:t>company’s</w:t>
      </w:r>
      <w:r w:rsidR="009B6431" w:rsidRPr="00790B5F">
        <w:t xml:space="preserve"> </w:t>
      </w:r>
      <w:r w:rsidRPr="00790B5F">
        <w:t xml:space="preserve">transformation, they </w:t>
      </w:r>
      <w:r w:rsidR="005F3463" w:rsidRPr="00790B5F">
        <w:t>must</w:t>
      </w:r>
      <w:r w:rsidRPr="00790B5F">
        <w:t xml:space="preserve"> begin the transformation journey</w:t>
      </w:r>
      <w:r w:rsidR="00C95FE4" w:rsidRPr="00790B5F">
        <w:t xml:space="preserve"> by mapping out </w:t>
      </w:r>
      <w:r w:rsidR="009D39AA" w:rsidRPr="00790B5F">
        <w:t>how they will take five</w:t>
      </w:r>
      <w:r w:rsidR="00C95FE4" w:rsidRPr="00790B5F">
        <w:t xml:space="preserve"> actions</w:t>
      </w:r>
      <w:r w:rsidR="009D39AA" w:rsidRPr="00790B5F">
        <w:t xml:space="preserve">: </w:t>
      </w:r>
      <w:r w:rsidR="00546C20" w:rsidRPr="00790B5F">
        <w:t xml:space="preserve"> </w:t>
      </w:r>
    </w:p>
    <w:p w14:paraId="3204F654" w14:textId="4E4AA1B6" w:rsidR="002E515D" w:rsidRPr="00790B5F" w:rsidRDefault="002E515D" w:rsidP="00790B5F"/>
    <w:p w14:paraId="3FD8269E" w14:textId="38D24874" w:rsidR="008A5A0F" w:rsidRPr="00790B5F" w:rsidRDefault="00790B5F" w:rsidP="00790B5F">
      <w:r>
        <w:t>One, m</w:t>
      </w:r>
      <w:r w:rsidR="008A5A0F" w:rsidRPr="00790B5F">
        <w:t>otivate with a strong purpose</w:t>
      </w:r>
      <w:r w:rsidR="00BA5FC3" w:rsidRPr="00790B5F">
        <w:t>.</w:t>
      </w:r>
      <w:r w:rsidR="005A00A9" w:rsidRPr="00790B5F">
        <w:t xml:space="preserve"> </w:t>
      </w:r>
      <w:r w:rsidR="0014551D" w:rsidRPr="00790B5F">
        <w:t xml:space="preserve">For a transformation to </w:t>
      </w:r>
      <w:r w:rsidR="008A5A0F" w:rsidRPr="00790B5F">
        <w:t xml:space="preserve">be meaningful and resonate with stakeholders, </w:t>
      </w:r>
      <w:r w:rsidR="00FB25D2" w:rsidRPr="00790B5F">
        <w:t xml:space="preserve">leaders must make the </w:t>
      </w:r>
      <w:r w:rsidR="00645B5C" w:rsidRPr="00790B5F">
        <w:t>company’s</w:t>
      </w:r>
      <w:r w:rsidR="004A27DD" w:rsidRPr="00790B5F">
        <w:t xml:space="preserve"> </w:t>
      </w:r>
      <w:r w:rsidR="008A5A0F" w:rsidRPr="00790B5F">
        <w:t xml:space="preserve">purpose the </w:t>
      </w:r>
      <w:r w:rsidR="00014EE5" w:rsidRPr="00790B5F">
        <w:t xml:space="preserve">journey’s </w:t>
      </w:r>
      <w:r w:rsidR="0080226F" w:rsidRPr="00790B5F">
        <w:t>North Star</w:t>
      </w:r>
      <w:r w:rsidR="008A5A0F" w:rsidRPr="00790B5F">
        <w:t xml:space="preserve">. </w:t>
      </w:r>
      <w:r w:rsidR="0014551D" w:rsidRPr="00790B5F">
        <w:t xml:space="preserve">Its </w:t>
      </w:r>
      <w:r w:rsidR="008A5A0F" w:rsidRPr="00790B5F">
        <w:t xml:space="preserve">purpose guides </w:t>
      </w:r>
      <w:r w:rsidR="00014EE5" w:rsidRPr="00790B5F">
        <w:t>a</w:t>
      </w:r>
      <w:r w:rsidR="00645B5C" w:rsidRPr="00790B5F">
        <w:t xml:space="preserve"> company’s </w:t>
      </w:r>
      <w:r w:rsidR="008A5A0F" w:rsidRPr="00790B5F">
        <w:t>version of future ready</w:t>
      </w:r>
      <w:r w:rsidR="009C68CD" w:rsidRPr="00790B5F">
        <w:t xml:space="preserve">, </w:t>
      </w:r>
      <w:r w:rsidR="00633065" w:rsidRPr="00790B5F">
        <w:t>becomes the shared goal</w:t>
      </w:r>
      <w:r w:rsidR="008A5A0F" w:rsidRPr="00790B5F">
        <w:t xml:space="preserve">, </w:t>
      </w:r>
      <w:r w:rsidR="00546C20" w:rsidRPr="00790B5F">
        <w:t xml:space="preserve">and </w:t>
      </w:r>
      <w:r w:rsidR="008A5A0F" w:rsidRPr="00790B5F">
        <w:t xml:space="preserve">helps people make judgments </w:t>
      </w:r>
      <w:r w:rsidR="00190EF0" w:rsidRPr="00790B5F">
        <w:t>about</w:t>
      </w:r>
      <w:r w:rsidR="008A5A0F" w:rsidRPr="00790B5F">
        <w:t xml:space="preserve"> trade-offs in times of uncertainty.</w:t>
      </w:r>
    </w:p>
    <w:p w14:paraId="624E46C6" w14:textId="77777777" w:rsidR="008A5A0F" w:rsidRPr="00790B5F" w:rsidRDefault="008A5A0F" w:rsidP="00790B5F"/>
    <w:p w14:paraId="65711248" w14:textId="2B292516" w:rsidR="008A5A0F" w:rsidRPr="00790B5F" w:rsidRDefault="00790B5F" w:rsidP="00790B5F">
      <w:r>
        <w:t>Two, c</w:t>
      </w:r>
      <w:r w:rsidR="008A5A0F" w:rsidRPr="00790B5F">
        <w:t>ommit to a pathway</w:t>
      </w:r>
      <w:r w:rsidR="00BA5FC3" w:rsidRPr="00790B5F">
        <w:t>.</w:t>
      </w:r>
      <w:r w:rsidR="005A00A9" w:rsidRPr="00790B5F">
        <w:t xml:space="preserve"> </w:t>
      </w:r>
      <w:r w:rsidR="000D2C92" w:rsidRPr="00790B5F">
        <w:t xml:space="preserve">Many </w:t>
      </w:r>
      <w:r w:rsidR="0014551D" w:rsidRPr="00790B5F">
        <w:t>companies</w:t>
      </w:r>
      <w:r w:rsidR="004A27DD" w:rsidRPr="00790B5F">
        <w:t xml:space="preserve"> </w:t>
      </w:r>
      <w:r w:rsidR="000D2C92" w:rsidRPr="00790B5F">
        <w:t xml:space="preserve">beginning </w:t>
      </w:r>
      <w:r w:rsidR="009B6431" w:rsidRPr="00790B5F">
        <w:t xml:space="preserve">a </w:t>
      </w:r>
      <w:r w:rsidR="000D2C92" w:rsidRPr="00790B5F">
        <w:t xml:space="preserve">transformation have </w:t>
      </w:r>
      <w:r w:rsidR="00F14BDC" w:rsidRPr="00790B5F">
        <w:t xml:space="preserve">a number of </w:t>
      </w:r>
      <w:proofErr w:type="gramStart"/>
      <w:r w:rsidR="00F14BDC" w:rsidRPr="00790B5F">
        <w:t>silos:</w:t>
      </w:r>
      <w:proofErr w:type="gramEnd"/>
      <w:r w:rsidR="00F14BDC" w:rsidRPr="00790B5F">
        <w:t xml:space="preserve"> sets of </w:t>
      </w:r>
      <w:r w:rsidR="000D2C92" w:rsidRPr="00790B5F">
        <w:t xml:space="preserve">systems that support a subset of a </w:t>
      </w:r>
      <w:r w:rsidR="0014551D" w:rsidRPr="00790B5F">
        <w:t>company</w:t>
      </w:r>
      <w:r w:rsidR="004A27DD" w:rsidRPr="00790B5F">
        <w:t xml:space="preserve"> </w:t>
      </w:r>
      <w:r w:rsidR="00014EE5" w:rsidRPr="00790B5F">
        <w:t>such as</w:t>
      </w:r>
      <w:r w:rsidR="000D2C92" w:rsidRPr="00790B5F">
        <w:t xml:space="preserve"> a business unit, a product, </w:t>
      </w:r>
      <w:r w:rsidR="00F14BDC" w:rsidRPr="00790B5F">
        <w:t xml:space="preserve">or </w:t>
      </w:r>
      <w:r w:rsidR="000D2C92" w:rsidRPr="00790B5F">
        <w:t>a geography</w:t>
      </w:r>
      <w:r w:rsidR="00C75041" w:rsidRPr="00790B5F">
        <w:t xml:space="preserve">. </w:t>
      </w:r>
      <w:r w:rsidR="001007C1" w:rsidRPr="00790B5F">
        <w:t xml:space="preserve">Not </w:t>
      </w:r>
      <w:r w:rsidR="000D2C92" w:rsidRPr="00790B5F">
        <w:t>compatible or not integrated</w:t>
      </w:r>
      <w:r w:rsidR="001007C1" w:rsidRPr="00790B5F">
        <w:t xml:space="preserve">, these </w:t>
      </w:r>
      <w:r w:rsidR="00F14BDC" w:rsidRPr="00790B5F">
        <w:t>silos</w:t>
      </w:r>
      <w:r w:rsidR="000D2C92" w:rsidRPr="00790B5F">
        <w:t xml:space="preserve"> must be connected point-to-point </w:t>
      </w:r>
      <w:r w:rsidR="00F14BDC" w:rsidRPr="00790B5F">
        <w:t xml:space="preserve">to enable </w:t>
      </w:r>
      <w:r w:rsidR="000D2C92" w:rsidRPr="00790B5F">
        <w:t xml:space="preserve">each new solution, with the overall system </w:t>
      </w:r>
      <w:r w:rsidR="00F14BDC" w:rsidRPr="00790B5F">
        <w:t xml:space="preserve">ultimately </w:t>
      </w:r>
      <w:r w:rsidR="000D2C92" w:rsidRPr="00790B5F">
        <w:t>resembling a plate of spaghetti. To move toward future ready from this state</w:t>
      </w:r>
      <w:r w:rsidR="00BF7EC8" w:rsidRPr="00790B5F">
        <w:t>,</w:t>
      </w:r>
      <w:r w:rsidR="000D2C92" w:rsidRPr="00790B5F">
        <w:t xml:space="preserve"> every </w:t>
      </w:r>
      <w:r w:rsidR="0014551D" w:rsidRPr="00790B5F">
        <w:t>company</w:t>
      </w:r>
      <w:r w:rsidR="004A27DD" w:rsidRPr="00790B5F">
        <w:t xml:space="preserve"> </w:t>
      </w:r>
      <w:r w:rsidR="00C75041" w:rsidRPr="00790B5F">
        <w:t>must</w:t>
      </w:r>
      <w:r w:rsidR="000D2C92" w:rsidRPr="00790B5F">
        <w:t xml:space="preserve"> choose a pathway (or </w:t>
      </w:r>
      <w:r w:rsidR="0080226F" w:rsidRPr="00790B5F">
        <w:t>multiple coordinated</w:t>
      </w:r>
      <w:r w:rsidR="000D2C92" w:rsidRPr="00790B5F">
        <w:t xml:space="preserve"> pathway</w:t>
      </w:r>
      <w:r w:rsidR="0080226F" w:rsidRPr="00790B5F">
        <w:t>s</w:t>
      </w:r>
      <w:r w:rsidR="000D2C92" w:rsidRPr="00790B5F">
        <w:t xml:space="preserve">) for the transformation. Aligning on a common language </w:t>
      </w:r>
      <w:r w:rsidR="00A26995" w:rsidRPr="00790B5F">
        <w:t xml:space="preserve">for the transformation </w:t>
      </w:r>
      <w:r w:rsidR="0080226F" w:rsidRPr="00790B5F">
        <w:t xml:space="preserve">and then </w:t>
      </w:r>
      <w:r w:rsidR="00A26995" w:rsidRPr="00790B5F">
        <w:t xml:space="preserve">on the chosen </w:t>
      </w:r>
      <w:r w:rsidR="0080226F" w:rsidRPr="00790B5F">
        <w:t xml:space="preserve">pathway(s) </w:t>
      </w:r>
      <w:r w:rsidR="000D2C92" w:rsidRPr="00790B5F">
        <w:t xml:space="preserve">is critical in preventing executives and other </w:t>
      </w:r>
      <w:r w:rsidR="002C02C0" w:rsidRPr="00790B5F">
        <w:t>employees</w:t>
      </w:r>
      <w:r w:rsidR="00A26995" w:rsidRPr="00790B5F">
        <w:t xml:space="preserve"> </w:t>
      </w:r>
      <w:r w:rsidR="000D2C92" w:rsidRPr="00790B5F">
        <w:t xml:space="preserve">from talking past </w:t>
      </w:r>
      <w:r w:rsidR="00A26995" w:rsidRPr="00790B5F">
        <w:t xml:space="preserve">each </w:t>
      </w:r>
      <w:r w:rsidR="000D2C92" w:rsidRPr="00790B5F">
        <w:t>other</w:t>
      </w:r>
      <w:r w:rsidR="002C02C0" w:rsidRPr="00790B5F">
        <w:t xml:space="preserve"> and executing </w:t>
      </w:r>
      <w:r w:rsidR="00C75041" w:rsidRPr="00790B5F">
        <w:t>an</w:t>
      </w:r>
      <w:r w:rsidR="0080226F" w:rsidRPr="00790B5F">
        <w:t xml:space="preserve"> uncoordinated approach with poor </w:t>
      </w:r>
      <w:r w:rsidR="000D2C92" w:rsidRPr="00790B5F">
        <w:t xml:space="preserve">outcomes. </w:t>
      </w:r>
    </w:p>
    <w:p w14:paraId="4567CF8C" w14:textId="77777777" w:rsidR="00374ECE" w:rsidRPr="00790B5F" w:rsidRDefault="00374ECE" w:rsidP="00790B5F"/>
    <w:p w14:paraId="6D286E9C" w14:textId="1082B096" w:rsidR="00E23C0E" w:rsidRPr="00790B5F" w:rsidRDefault="00790B5F" w:rsidP="00790B5F">
      <w:r>
        <w:t>Three, a</w:t>
      </w:r>
      <w:r w:rsidR="008A5A0F" w:rsidRPr="00790B5F">
        <w:t>nticipate the explosions</w:t>
      </w:r>
      <w:r w:rsidR="00BA5FC3" w:rsidRPr="00790B5F">
        <w:t>.</w:t>
      </w:r>
      <w:r w:rsidR="005A00A9" w:rsidRPr="00790B5F">
        <w:t xml:space="preserve"> </w:t>
      </w:r>
      <w:r w:rsidR="006E2A5E" w:rsidRPr="00790B5F">
        <w:t>Companies</w:t>
      </w:r>
      <w:r w:rsidR="0000074E" w:rsidRPr="00790B5F">
        <w:t xml:space="preserve"> </w:t>
      </w:r>
      <w:r w:rsidR="00C75041" w:rsidRPr="00790B5F">
        <w:t>must</w:t>
      </w:r>
      <w:r w:rsidR="0000074E" w:rsidRPr="00790B5F">
        <w:t xml:space="preserve"> deal with difficult organizational changes</w:t>
      </w:r>
      <w:r w:rsidR="00014EE5" w:rsidRPr="00790B5F">
        <w:t xml:space="preserve">—altering decision rights, creating new ways of working, developing a platform mindset, and </w:t>
      </w:r>
      <w:r w:rsidR="00014EE5" w:rsidRPr="00790B5F">
        <w:lastRenderedPageBreak/>
        <w:t>performing organizational surgery—</w:t>
      </w:r>
      <w:r w:rsidR="0000074E" w:rsidRPr="00790B5F">
        <w:t xml:space="preserve">to develop new </w:t>
      </w:r>
      <w:r w:rsidR="00D8753F" w:rsidRPr="00790B5F">
        <w:t xml:space="preserve">enterprise-wide </w:t>
      </w:r>
      <w:r w:rsidR="0000074E" w:rsidRPr="00790B5F">
        <w:t>capabilities</w:t>
      </w:r>
      <w:r w:rsidR="00C75041" w:rsidRPr="00790B5F">
        <w:t xml:space="preserve"> for customer experience and operational efficiency</w:t>
      </w:r>
      <w:r w:rsidR="0000074E" w:rsidRPr="00790B5F">
        <w:t>. We call these changes</w:t>
      </w:r>
      <w:r w:rsidR="00014EE5" w:rsidRPr="00790B5F">
        <w:t xml:space="preserve"> </w:t>
      </w:r>
      <w:r w:rsidR="0000074E" w:rsidRPr="00790B5F">
        <w:t xml:space="preserve">organizational explosions because </w:t>
      </w:r>
      <w:r w:rsidR="004B0F3C" w:rsidRPr="00790B5F">
        <w:t xml:space="preserve">they </w:t>
      </w:r>
      <w:r w:rsidR="0000074E" w:rsidRPr="00790B5F">
        <w:t xml:space="preserve">are disruptive and affect most of a </w:t>
      </w:r>
      <w:r w:rsidR="0014551D" w:rsidRPr="00790B5F">
        <w:t>company</w:t>
      </w:r>
      <w:r w:rsidR="004A27DD" w:rsidRPr="00790B5F">
        <w:t xml:space="preserve">’s </w:t>
      </w:r>
      <w:r w:rsidR="0000074E" w:rsidRPr="00790B5F">
        <w:t xml:space="preserve">employees and partners. </w:t>
      </w:r>
      <w:r w:rsidR="004A27DD" w:rsidRPr="00790B5F">
        <w:t>Leaders</w:t>
      </w:r>
      <w:r w:rsidR="00B77AD7" w:rsidRPr="00790B5F">
        <w:t xml:space="preserve"> need to address </w:t>
      </w:r>
      <w:r w:rsidR="0000074E" w:rsidRPr="00790B5F">
        <w:t xml:space="preserve">the explosions </w:t>
      </w:r>
      <w:r w:rsidR="00B77AD7" w:rsidRPr="00790B5F">
        <w:t xml:space="preserve">carefully, anticipating and managing their impacts, </w:t>
      </w:r>
      <w:r w:rsidR="0000074E" w:rsidRPr="00790B5F">
        <w:t>to create</w:t>
      </w:r>
      <w:r w:rsidR="004B0F3C" w:rsidRPr="00790B5F">
        <w:t xml:space="preserve"> </w:t>
      </w:r>
      <w:r w:rsidR="0000074E" w:rsidRPr="00790B5F">
        <w:t>rather than destroy</w:t>
      </w:r>
      <w:r w:rsidR="004B0F3C" w:rsidRPr="00790B5F">
        <w:t xml:space="preserve"> </w:t>
      </w:r>
      <w:r w:rsidR="0000074E" w:rsidRPr="00790B5F">
        <w:t>value.</w:t>
      </w:r>
      <w:r w:rsidR="00735A83" w:rsidRPr="00790B5F">
        <w:t xml:space="preserve"> </w:t>
      </w:r>
    </w:p>
    <w:p w14:paraId="71CAE4E0" w14:textId="77777777" w:rsidR="008A5A0F" w:rsidRPr="00790B5F" w:rsidRDefault="008A5A0F" w:rsidP="00790B5F"/>
    <w:p w14:paraId="21AC0E7B" w14:textId="67653F1D" w:rsidR="00FB25D2" w:rsidRPr="00790B5F" w:rsidRDefault="00790B5F" w:rsidP="00790B5F">
      <w:r>
        <w:t>Four, b</w:t>
      </w:r>
      <w:r w:rsidR="008A5A0F" w:rsidRPr="00790B5F">
        <w:t>uild capabilities</w:t>
      </w:r>
      <w:r w:rsidR="00F75587" w:rsidRPr="00790B5F">
        <w:t>.</w:t>
      </w:r>
      <w:r w:rsidR="005A00A9" w:rsidRPr="00790B5F">
        <w:t xml:space="preserve"> </w:t>
      </w:r>
      <w:r w:rsidR="00FA2C40" w:rsidRPr="00790B5F">
        <w:t>Our</w:t>
      </w:r>
      <w:r w:rsidR="0000074E" w:rsidRPr="00790B5F">
        <w:t xml:space="preserve"> research identified ten future-ready capabilities that top-performing </w:t>
      </w:r>
      <w:r w:rsidR="006E2A5E" w:rsidRPr="00790B5F">
        <w:t>companies</w:t>
      </w:r>
      <w:r w:rsidR="0000074E" w:rsidRPr="00790B5F">
        <w:t xml:space="preserve"> develop to progress on customer </w:t>
      </w:r>
      <w:r w:rsidR="0006608C" w:rsidRPr="00790B5F">
        <w:t xml:space="preserve">experience </w:t>
      </w:r>
      <w:r w:rsidR="0000074E" w:rsidRPr="00790B5F">
        <w:t xml:space="preserve">and operational </w:t>
      </w:r>
      <w:r w:rsidR="0006608C" w:rsidRPr="00790B5F">
        <w:t>efficiency simultaneously and consistently</w:t>
      </w:r>
      <w:r w:rsidR="00FA2C40" w:rsidRPr="00790B5F">
        <w:t xml:space="preserve"> and</w:t>
      </w:r>
      <w:r w:rsidR="0006608C" w:rsidRPr="00790B5F">
        <w:t xml:space="preserve"> </w:t>
      </w:r>
      <w:r w:rsidR="00FA2C40" w:rsidRPr="00790B5F">
        <w:t xml:space="preserve">capture </w:t>
      </w:r>
      <w:r w:rsidR="0006608C" w:rsidRPr="00790B5F">
        <w:t>more</w:t>
      </w:r>
      <w:r w:rsidR="0000074E" w:rsidRPr="00790B5F">
        <w:t xml:space="preserve"> digital value. </w:t>
      </w:r>
      <w:r w:rsidR="00FA2C40" w:rsidRPr="00790B5F">
        <w:t xml:space="preserve">Among the </w:t>
      </w:r>
      <w:r w:rsidR="007C5665" w:rsidRPr="00790B5F">
        <w:t xml:space="preserve">ten capabilities </w:t>
      </w:r>
      <w:r w:rsidR="00FA2C40" w:rsidRPr="00790B5F">
        <w:t xml:space="preserve">are facilitating </w:t>
      </w:r>
      <w:r w:rsidR="007C5665" w:rsidRPr="00790B5F">
        <w:t xml:space="preserve">rapid learning throughout the </w:t>
      </w:r>
      <w:r w:rsidR="0014551D" w:rsidRPr="00790B5F">
        <w:t>company</w:t>
      </w:r>
      <w:r w:rsidR="007C5665" w:rsidRPr="00790B5F">
        <w:t xml:space="preserve"> and </w:t>
      </w:r>
      <w:r w:rsidR="00FA2C40" w:rsidRPr="00790B5F">
        <w:t xml:space="preserve">taking a </w:t>
      </w:r>
      <w:r w:rsidR="007C5665" w:rsidRPr="00790B5F">
        <w:t xml:space="preserve">modular, open, and agile approach to managing technology. </w:t>
      </w:r>
      <w:r w:rsidR="0000074E" w:rsidRPr="00790B5F">
        <w:t xml:space="preserve">An important and far-reaching aspiration is to </w:t>
      </w:r>
      <w:r w:rsidR="002556A3" w:rsidRPr="00790B5F">
        <w:t>extend</w:t>
      </w:r>
      <w:r w:rsidR="00FA2C40" w:rsidRPr="00790B5F">
        <w:t xml:space="preserve"> </w:t>
      </w:r>
      <w:r w:rsidR="0006608C" w:rsidRPr="00790B5F">
        <w:t xml:space="preserve">these </w:t>
      </w:r>
      <w:r w:rsidR="0000074E" w:rsidRPr="00790B5F">
        <w:t xml:space="preserve">ten future-ready capabilities across the entire </w:t>
      </w:r>
      <w:r w:rsidR="0014551D" w:rsidRPr="00790B5F">
        <w:t>company</w:t>
      </w:r>
      <w:r w:rsidR="0000074E" w:rsidRPr="00790B5F">
        <w:t>, including the board</w:t>
      </w:r>
      <w:r w:rsidR="007551E2" w:rsidRPr="00790B5F">
        <w:t xml:space="preserve"> and</w:t>
      </w:r>
      <w:r w:rsidR="0000074E" w:rsidRPr="00790B5F">
        <w:t xml:space="preserve"> top management team. This is an ongoing effort that requires leadership, budget, fresh approaches</w:t>
      </w:r>
      <w:r w:rsidR="00937606" w:rsidRPr="00790B5F">
        <w:t xml:space="preserve"> an</w:t>
      </w:r>
      <w:r w:rsidR="00BE5283" w:rsidRPr="00790B5F">
        <w:t>d</w:t>
      </w:r>
      <w:r w:rsidR="00937606" w:rsidRPr="00790B5F">
        <w:t xml:space="preserve"> new metrics</w:t>
      </w:r>
      <w:r w:rsidR="0000074E" w:rsidRPr="00790B5F">
        <w:t>, and perseverance.</w:t>
      </w:r>
      <w:r w:rsidR="0080226F" w:rsidRPr="00790B5F">
        <w:t xml:space="preserve"> </w:t>
      </w:r>
    </w:p>
    <w:p w14:paraId="23C31F65" w14:textId="3FBC1DE4" w:rsidR="008A5A0F" w:rsidRPr="00790B5F" w:rsidRDefault="008A5A0F" w:rsidP="00790B5F"/>
    <w:p w14:paraId="52B86A80" w14:textId="09F8FE11" w:rsidR="00755AB9" w:rsidRPr="00790B5F" w:rsidRDefault="00790B5F" w:rsidP="00790B5F">
      <w:r>
        <w:t>Five, a</w:t>
      </w:r>
      <w:r w:rsidR="008A5A0F" w:rsidRPr="00790B5F">
        <w:t>ccumulate value</w:t>
      </w:r>
      <w:r w:rsidR="00F75587" w:rsidRPr="00790B5F">
        <w:t>.</w:t>
      </w:r>
      <w:r w:rsidR="005A00A9" w:rsidRPr="00790B5F">
        <w:t xml:space="preserve"> </w:t>
      </w:r>
      <w:r w:rsidR="007C78FE" w:rsidRPr="00790B5F">
        <w:t>To achieve future</w:t>
      </w:r>
      <w:r w:rsidR="007551E2" w:rsidRPr="00790B5F">
        <w:t>-</w:t>
      </w:r>
      <w:r w:rsidR="007C78FE" w:rsidRPr="00790B5F">
        <w:t xml:space="preserve">ready </w:t>
      </w:r>
      <w:r w:rsidR="0014551D" w:rsidRPr="00790B5F">
        <w:t>company</w:t>
      </w:r>
      <w:r w:rsidR="004A27DD" w:rsidRPr="00790B5F">
        <w:t xml:space="preserve"> </w:t>
      </w:r>
      <w:r w:rsidR="007C78FE" w:rsidRPr="00790B5F">
        <w:t>performance, leaders must ensure that digital transformation initiatives accumulate value</w:t>
      </w:r>
      <w:r w:rsidR="007C5665" w:rsidRPr="00790B5F">
        <w:t xml:space="preserve"> from operations, </w:t>
      </w:r>
      <w:r w:rsidR="002556A3" w:rsidRPr="00790B5F">
        <w:t xml:space="preserve">from </w:t>
      </w:r>
      <w:r w:rsidR="007C5665" w:rsidRPr="00790B5F">
        <w:t xml:space="preserve">customers, and </w:t>
      </w:r>
      <w:r w:rsidR="002556A3" w:rsidRPr="00790B5F">
        <w:t xml:space="preserve">from </w:t>
      </w:r>
      <w:r w:rsidR="007C5665" w:rsidRPr="00790B5F">
        <w:t xml:space="preserve">ecosystems—all significant predictors of </w:t>
      </w:r>
      <w:r w:rsidR="0014551D" w:rsidRPr="00790B5F">
        <w:t>company</w:t>
      </w:r>
      <w:r w:rsidR="004A27DD" w:rsidRPr="00790B5F">
        <w:t xml:space="preserve"> </w:t>
      </w:r>
      <w:r w:rsidR="007C5665" w:rsidRPr="00790B5F">
        <w:t>performance</w:t>
      </w:r>
      <w:r w:rsidR="00E33EBD" w:rsidRPr="00790B5F">
        <w:t>—</w:t>
      </w:r>
      <w:r w:rsidR="0056674B" w:rsidRPr="00790B5F">
        <w:t xml:space="preserve">ideally </w:t>
      </w:r>
      <w:r w:rsidR="007551E2" w:rsidRPr="00790B5F">
        <w:t xml:space="preserve">tracked </w:t>
      </w:r>
      <w:r w:rsidR="00F34D1B" w:rsidRPr="00790B5F">
        <w:t>in</w:t>
      </w:r>
      <w:r w:rsidR="0056674B" w:rsidRPr="00790B5F">
        <w:t xml:space="preserve"> real-time dashboards</w:t>
      </w:r>
      <w:r w:rsidR="007551E2" w:rsidRPr="00790B5F">
        <w:t xml:space="preserve">. Dashboards should </w:t>
      </w:r>
      <w:r w:rsidR="00A17290" w:rsidRPr="00790B5F">
        <w:t xml:space="preserve">be </w:t>
      </w:r>
      <w:r w:rsidR="00E33EBD" w:rsidRPr="00790B5F">
        <w:t xml:space="preserve">accessible </w:t>
      </w:r>
      <w:r w:rsidR="007551E2" w:rsidRPr="00790B5F">
        <w:t xml:space="preserve">by everyone at the </w:t>
      </w:r>
      <w:r w:rsidR="0014551D" w:rsidRPr="00790B5F">
        <w:t>company</w:t>
      </w:r>
      <w:r w:rsidR="007551E2" w:rsidRPr="00790B5F">
        <w:t>, including the board and top management team</w:t>
      </w:r>
      <w:r w:rsidR="0088542F" w:rsidRPr="00790B5F">
        <w:t xml:space="preserve">, to make </w:t>
      </w:r>
      <w:r w:rsidR="00417D3B" w:rsidRPr="00790B5F">
        <w:t xml:space="preserve">success visible </w:t>
      </w:r>
      <w:r w:rsidR="008E1439" w:rsidRPr="00790B5F">
        <w:t xml:space="preserve">and </w:t>
      </w:r>
      <w:r w:rsidR="0088542F" w:rsidRPr="00790B5F">
        <w:t xml:space="preserve">guide </w:t>
      </w:r>
      <w:r w:rsidR="008E1439" w:rsidRPr="00790B5F">
        <w:t>next steps</w:t>
      </w:r>
      <w:r w:rsidR="00FB25D2" w:rsidRPr="00790B5F">
        <w:t xml:space="preserve">. </w:t>
      </w:r>
    </w:p>
    <w:p w14:paraId="5BE436CA" w14:textId="77777777" w:rsidR="00790B5F" w:rsidRDefault="00790B5F" w:rsidP="00790B5F"/>
    <w:p w14:paraId="6354A385" w14:textId="30377DDC" w:rsidR="002969A5" w:rsidRPr="00790B5F" w:rsidRDefault="00C61D2E" w:rsidP="00790B5F">
      <w:r w:rsidRPr="00790B5F">
        <w:t xml:space="preserve">Leading </w:t>
      </w:r>
      <w:r w:rsidR="00D37549" w:rsidRPr="00790B5F">
        <w:t xml:space="preserve">the </w:t>
      </w:r>
      <w:r w:rsidR="00755AB9" w:rsidRPr="00790B5F">
        <w:t xml:space="preserve">CEMEX </w:t>
      </w:r>
      <w:r w:rsidRPr="00790B5F">
        <w:t xml:space="preserve">Journey to </w:t>
      </w:r>
      <w:r w:rsidR="00D37549" w:rsidRPr="00790B5F">
        <w:t>Future Ready</w:t>
      </w:r>
    </w:p>
    <w:p w14:paraId="1A0B9277" w14:textId="77777777" w:rsidR="00755AB9" w:rsidRPr="00790B5F" w:rsidRDefault="00755AB9" w:rsidP="00790B5F"/>
    <w:p w14:paraId="40AB0B4E" w14:textId="3B4DAF69" w:rsidR="00C36787" w:rsidRPr="00790B5F" w:rsidRDefault="00487D5D" w:rsidP="00790B5F">
      <w:r w:rsidRPr="00790B5F">
        <w:t xml:space="preserve">Leaders at </w:t>
      </w:r>
      <w:r w:rsidR="002C7717" w:rsidRPr="00790B5F">
        <w:t xml:space="preserve">global building materials </w:t>
      </w:r>
      <w:r w:rsidR="006E2A5E" w:rsidRPr="00790B5F">
        <w:t>company</w:t>
      </w:r>
      <w:r w:rsidR="002C7717" w:rsidRPr="00790B5F">
        <w:t xml:space="preserve"> </w:t>
      </w:r>
      <w:r w:rsidR="009D5113" w:rsidRPr="00790B5F">
        <w:t xml:space="preserve">CEMEX </w:t>
      </w:r>
      <w:r w:rsidRPr="00790B5F">
        <w:t xml:space="preserve">got the five actions right in </w:t>
      </w:r>
      <w:r w:rsidR="004A27DD" w:rsidRPr="00790B5F">
        <w:t>its</w:t>
      </w:r>
      <w:r w:rsidRPr="00790B5F">
        <w:t xml:space="preserve"> </w:t>
      </w:r>
      <w:r w:rsidR="002C7717" w:rsidRPr="00790B5F">
        <w:t xml:space="preserve">successful transformation to Future Ready. </w:t>
      </w:r>
      <w:r w:rsidR="00382E59" w:rsidRPr="00790B5F">
        <w:t xml:space="preserve">In 2021 </w:t>
      </w:r>
      <w:r w:rsidR="00A118F7" w:rsidRPr="00790B5F">
        <w:t>CEMEX,</w:t>
      </w:r>
      <w:r w:rsidR="002C7717" w:rsidRPr="00790B5F">
        <w:t xml:space="preserve"> </w:t>
      </w:r>
      <w:r w:rsidR="00E4642E" w:rsidRPr="00790B5F">
        <w:t>with more than 46,000 employees across four core businesses (cement, ready-mix concrete, aggregates, and urbanization solutions)</w:t>
      </w:r>
      <w:r w:rsidR="00A118F7" w:rsidRPr="00790B5F">
        <w:t>,</w:t>
      </w:r>
      <w:r w:rsidR="00E4642E" w:rsidRPr="00790B5F">
        <w:t xml:space="preserve"> </w:t>
      </w:r>
      <w:r w:rsidR="002C7717" w:rsidRPr="00790B5F">
        <w:t>had net revenues of $14.5 billion</w:t>
      </w:r>
      <w:r w:rsidR="00E4642E" w:rsidRPr="00790B5F">
        <w:t xml:space="preserve"> </w:t>
      </w:r>
      <w:r w:rsidR="00A118F7" w:rsidRPr="00790B5F">
        <w:t xml:space="preserve">(up </w:t>
      </w:r>
      <w:r w:rsidR="002C7717" w:rsidRPr="00790B5F">
        <w:t>14 percent from 2020)</w:t>
      </w:r>
      <w:r w:rsidR="00A118F7" w:rsidRPr="00790B5F">
        <w:t>,</w:t>
      </w:r>
      <w:r w:rsidR="00EF2A37" w:rsidRPr="00790B5F">
        <w:t xml:space="preserve"> </w:t>
      </w:r>
      <w:r w:rsidR="002C7717" w:rsidRPr="00790B5F">
        <w:t>a net profit margin (TTM) of 9.</w:t>
      </w:r>
      <w:r w:rsidR="004C2D71" w:rsidRPr="00790B5F">
        <w:t xml:space="preserve">7 </w:t>
      </w:r>
      <w:r w:rsidR="002C7717" w:rsidRPr="00790B5F">
        <w:t>percent</w:t>
      </w:r>
      <w:r w:rsidR="00A118F7" w:rsidRPr="00790B5F">
        <w:t>,</w:t>
      </w:r>
      <w:r w:rsidR="004C2D71" w:rsidRPr="00790B5F">
        <w:t xml:space="preserve"> and sector</w:t>
      </w:r>
      <w:r w:rsidR="00A118F7" w:rsidRPr="00790B5F">
        <w:t>-</w:t>
      </w:r>
      <w:r w:rsidR="004C2D71" w:rsidRPr="00790B5F">
        <w:t>leading customer satisfaction</w:t>
      </w:r>
      <w:r w:rsidR="00E4642E" w:rsidRPr="00790B5F">
        <w:t>.</w:t>
      </w:r>
    </w:p>
    <w:p w14:paraId="55E1FAD4" w14:textId="77777777" w:rsidR="00C36787" w:rsidRPr="00790B5F" w:rsidRDefault="00C36787" w:rsidP="00790B5F"/>
    <w:p w14:paraId="45B0325A" w14:textId="46302111" w:rsidR="005B76F7" w:rsidRPr="00790B5F" w:rsidRDefault="00C36787" w:rsidP="00790B5F">
      <w:r w:rsidRPr="00790B5F">
        <w:t xml:space="preserve">CEMEX spent considerable time in the early 2000s improving its operations to gain global efficiencies </w:t>
      </w:r>
      <w:r w:rsidR="00740AB4" w:rsidRPr="00790B5F">
        <w:t xml:space="preserve">through process standardization </w:t>
      </w:r>
      <w:r w:rsidRPr="00790B5F">
        <w:t>(</w:t>
      </w:r>
      <w:r w:rsidR="00740AB4" w:rsidRPr="00790B5F">
        <w:t xml:space="preserve">which the company </w:t>
      </w:r>
      <w:r w:rsidRPr="00790B5F">
        <w:t>called the CEMEX Way) and building a strong reputation for quality, safety</w:t>
      </w:r>
      <w:r w:rsidR="004E66DE" w:rsidRPr="00790B5F">
        <w:t>,</w:t>
      </w:r>
      <w:r w:rsidRPr="00790B5F">
        <w:t xml:space="preserve"> and materials innovation. In 2014 the </w:t>
      </w:r>
      <w:r w:rsidR="0014551D" w:rsidRPr="00790B5F">
        <w:t>company</w:t>
      </w:r>
      <w:r w:rsidR="004A27DD" w:rsidRPr="00790B5F">
        <w:t xml:space="preserve">’s </w:t>
      </w:r>
      <w:r w:rsidRPr="00790B5F">
        <w:t xml:space="preserve">top management team initiated a </w:t>
      </w:r>
      <w:r w:rsidR="00CF5166" w:rsidRPr="00790B5F">
        <w:t>digital</w:t>
      </w:r>
      <w:r w:rsidR="00BA3F17" w:rsidRPr="00790B5F">
        <w:t xml:space="preserve"> business</w:t>
      </w:r>
      <w:r w:rsidR="00CF5166" w:rsidRPr="00790B5F">
        <w:t xml:space="preserve"> </w:t>
      </w:r>
      <w:r w:rsidRPr="00790B5F">
        <w:t xml:space="preserve">transformation with </w:t>
      </w:r>
      <w:r w:rsidR="004E66DE" w:rsidRPr="00790B5F">
        <w:t xml:space="preserve">a </w:t>
      </w:r>
      <w:r w:rsidRPr="00790B5F">
        <w:t>focus on delivering a superior customer experience enabled by digital technologies</w:t>
      </w:r>
      <w:r w:rsidR="00740AB4" w:rsidRPr="00790B5F">
        <w:t>,</w:t>
      </w:r>
      <w:r w:rsidR="00F0254F" w:rsidRPr="00790B5F">
        <w:t xml:space="preserve"> as customers were increasingly expecting </w:t>
      </w:r>
      <w:r w:rsidR="00740AB4" w:rsidRPr="00790B5F">
        <w:t xml:space="preserve">to have </w:t>
      </w:r>
      <w:r w:rsidR="00F0254F" w:rsidRPr="00790B5F">
        <w:t xml:space="preserve">the same experiences </w:t>
      </w:r>
      <w:r w:rsidR="00740AB4" w:rsidRPr="00790B5F">
        <w:t xml:space="preserve">when </w:t>
      </w:r>
      <w:r w:rsidR="00F0254F" w:rsidRPr="00790B5F">
        <w:t xml:space="preserve">working with businesses </w:t>
      </w:r>
      <w:r w:rsidR="001B00AE" w:rsidRPr="00790B5F">
        <w:t xml:space="preserve">digitally </w:t>
      </w:r>
      <w:r w:rsidR="00F0254F" w:rsidRPr="00790B5F">
        <w:t xml:space="preserve">that they had in the consumer space. </w:t>
      </w:r>
    </w:p>
    <w:p w14:paraId="25E78A65" w14:textId="77777777" w:rsidR="005B76F7" w:rsidRPr="00790B5F" w:rsidRDefault="005B76F7" w:rsidP="00790B5F"/>
    <w:p w14:paraId="1A441440" w14:textId="34029806" w:rsidR="00120932" w:rsidRPr="00790B5F" w:rsidRDefault="00804A84" w:rsidP="00790B5F">
      <w:r w:rsidRPr="00790B5F">
        <w:t xml:space="preserve">CEMEX leaders motivated </w:t>
      </w:r>
      <w:r w:rsidR="002B50DC" w:rsidRPr="00790B5F">
        <w:t xml:space="preserve">efforts on </w:t>
      </w:r>
      <w:r w:rsidR="00262DE7" w:rsidRPr="00790B5F">
        <w:t xml:space="preserve">the digital business </w:t>
      </w:r>
      <w:r w:rsidR="00120932" w:rsidRPr="00790B5F">
        <w:t xml:space="preserve">transformation </w:t>
      </w:r>
      <w:r w:rsidR="00740AB4" w:rsidRPr="00790B5F">
        <w:t xml:space="preserve">by recognizing </w:t>
      </w:r>
      <w:r w:rsidR="00262DE7" w:rsidRPr="00790B5F">
        <w:t xml:space="preserve">it </w:t>
      </w:r>
      <w:r w:rsidR="00120932" w:rsidRPr="00790B5F">
        <w:t xml:space="preserve">as </w:t>
      </w:r>
      <w:r w:rsidR="00262DE7" w:rsidRPr="00790B5F">
        <w:t xml:space="preserve">a </w:t>
      </w:r>
      <w:r w:rsidR="00120932" w:rsidRPr="00790B5F">
        <w:t xml:space="preserve">new frontier for achieving the </w:t>
      </w:r>
      <w:r w:rsidR="0014551D" w:rsidRPr="00790B5F">
        <w:t>company</w:t>
      </w:r>
      <w:r w:rsidR="004A27DD" w:rsidRPr="00790B5F">
        <w:t xml:space="preserve">’s </w:t>
      </w:r>
      <w:r w:rsidR="00120932" w:rsidRPr="00790B5F">
        <w:t>purpose</w:t>
      </w:r>
      <w:r w:rsidR="008D53D5" w:rsidRPr="00790B5F">
        <w:t>:</w:t>
      </w:r>
      <w:r w:rsidR="00120932" w:rsidRPr="00790B5F">
        <w:t xml:space="preserve"> “</w:t>
      </w:r>
      <w:r w:rsidRPr="00790B5F">
        <w:t>to make the future better for our customers, our shareholders, and our communities by becoming the world</w:t>
      </w:r>
      <w:r w:rsidR="008D53D5" w:rsidRPr="00790B5F">
        <w:t>’</w:t>
      </w:r>
      <w:r w:rsidRPr="00790B5F">
        <w:t>s most efficient and innovative building materials company</w:t>
      </w:r>
      <w:r w:rsidR="00120932" w:rsidRPr="00790B5F">
        <w:t>.</w:t>
      </w:r>
      <w:r w:rsidRPr="00790B5F">
        <w:t xml:space="preserve">” The top management team </w:t>
      </w:r>
      <w:r w:rsidR="004E7C0E" w:rsidRPr="00790B5F">
        <w:t>focused on delivering superior customer experience enabled by digital technologies</w:t>
      </w:r>
      <w:r w:rsidRPr="00790B5F">
        <w:t xml:space="preserve"> </w:t>
      </w:r>
      <w:r w:rsidR="009A400C" w:rsidRPr="00790B5F">
        <w:t xml:space="preserve">when </w:t>
      </w:r>
      <w:r w:rsidRPr="00790B5F">
        <w:t>engag</w:t>
      </w:r>
      <w:r w:rsidR="009A400C" w:rsidRPr="00790B5F">
        <w:t>ing</w:t>
      </w:r>
      <w:r w:rsidRPr="00790B5F">
        <w:t xml:space="preserve"> investors, customers, employees, </w:t>
      </w:r>
      <w:r w:rsidR="004E66DE" w:rsidRPr="00790B5F">
        <w:t xml:space="preserve">and </w:t>
      </w:r>
      <w:r w:rsidR="009A400C" w:rsidRPr="00790B5F">
        <w:t xml:space="preserve">industry </w:t>
      </w:r>
      <w:r w:rsidRPr="00790B5F">
        <w:t xml:space="preserve">partners. </w:t>
      </w:r>
      <w:r w:rsidR="009A400C" w:rsidRPr="00790B5F">
        <w:t xml:space="preserve">CEMEX </w:t>
      </w:r>
      <w:r w:rsidR="00104F3F" w:rsidRPr="00790B5F">
        <w:t xml:space="preserve">CEO Francisco Gonzalez </w:t>
      </w:r>
      <w:r w:rsidR="003C14FA" w:rsidRPr="00790B5F">
        <w:t xml:space="preserve">initially </w:t>
      </w:r>
      <w:r w:rsidR="00104F3F" w:rsidRPr="00790B5F">
        <w:t xml:space="preserve">led the </w:t>
      </w:r>
      <w:r w:rsidR="00104F3F" w:rsidRPr="00790B5F">
        <w:lastRenderedPageBreak/>
        <w:t>digital business transformation with three heads of digital</w:t>
      </w:r>
      <w:r w:rsidR="00464744" w:rsidRPr="00790B5F">
        <w:t>;</w:t>
      </w:r>
      <w:r w:rsidR="00104F3F" w:rsidRPr="00790B5F">
        <w:t xml:space="preserve"> </w:t>
      </w:r>
      <w:r w:rsidR="009A400C" w:rsidRPr="00790B5F">
        <w:t xml:space="preserve">he </w:t>
      </w:r>
      <w:r w:rsidR="00464744" w:rsidRPr="00790B5F">
        <w:t xml:space="preserve">then </w:t>
      </w:r>
      <w:r w:rsidR="00262DE7" w:rsidRPr="00790B5F">
        <w:t>established</w:t>
      </w:r>
      <w:r w:rsidR="009A400C" w:rsidRPr="00790B5F">
        <w:t xml:space="preserve"> </w:t>
      </w:r>
      <w:r w:rsidR="00104F3F" w:rsidRPr="00790B5F">
        <w:t xml:space="preserve">shared ownership </w:t>
      </w:r>
      <w:r w:rsidR="00464744" w:rsidRPr="00790B5F">
        <w:t xml:space="preserve">of the transformation </w:t>
      </w:r>
      <w:r w:rsidR="00104F3F" w:rsidRPr="00790B5F">
        <w:t>by the executive committee.</w:t>
      </w:r>
    </w:p>
    <w:p w14:paraId="2ADD3D15" w14:textId="25564E44" w:rsidR="00104F3F" w:rsidRPr="00790B5F" w:rsidRDefault="00804A84" w:rsidP="00790B5F">
      <w:r w:rsidRPr="00790B5F">
        <w:t xml:space="preserve"> </w:t>
      </w:r>
      <w:r w:rsidR="005B76F7" w:rsidRPr="00790B5F">
        <w:t xml:space="preserve"> </w:t>
      </w:r>
    </w:p>
    <w:p w14:paraId="769D5D4D" w14:textId="628EDE3E" w:rsidR="009A3F6E" w:rsidRPr="00790B5F" w:rsidRDefault="009A3F6E" w:rsidP="00790B5F">
      <w:r w:rsidRPr="00790B5F">
        <w:t>CEMEX’</w:t>
      </w:r>
      <w:r w:rsidR="003E6814" w:rsidRPr="00790B5F">
        <w:t>s</w:t>
      </w:r>
      <w:r w:rsidRPr="00790B5F">
        <w:t xml:space="preserve"> senior </w:t>
      </w:r>
      <w:r w:rsidR="00104F3F" w:rsidRPr="00790B5F">
        <w:t xml:space="preserve">leadership team </w:t>
      </w:r>
      <w:r w:rsidR="00A00262" w:rsidRPr="00790B5F">
        <w:t xml:space="preserve">committed to </w:t>
      </w:r>
      <w:r w:rsidR="00D17A33" w:rsidRPr="00790B5F">
        <w:t xml:space="preserve">a </w:t>
      </w:r>
      <w:r w:rsidR="007D6B80" w:rsidRPr="00790B5F">
        <w:t>transformation</w:t>
      </w:r>
      <w:r w:rsidR="00104F3F" w:rsidRPr="00790B5F">
        <w:t xml:space="preserve"> on Pathway 2. </w:t>
      </w:r>
      <w:r w:rsidR="00262DE7" w:rsidRPr="00790B5F">
        <w:t>The team designed the transformation in two phases</w:t>
      </w:r>
      <w:r w:rsidR="001A0A65" w:rsidRPr="00790B5F">
        <w:t>:</w:t>
      </w:r>
      <w:r w:rsidR="00262DE7" w:rsidRPr="00790B5F">
        <w:t xml:space="preserve"> the first phase focused on upgrading the customer experience by creating the digital platform and an omnichannel experience</w:t>
      </w:r>
      <w:r w:rsidR="001A0A65" w:rsidRPr="00790B5F">
        <w:t>;</w:t>
      </w:r>
      <w:r w:rsidR="00262DE7" w:rsidRPr="00790B5F">
        <w:t xml:space="preserve"> and the second phase focused on enhancing operational efficiency and reducing cost</w:t>
      </w:r>
      <w:r w:rsidR="00BD68F3" w:rsidRPr="00790B5F">
        <w:t xml:space="preserve"> </w:t>
      </w:r>
      <w:r w:rsidR="00262DE7" w:rsidRPr="00790B5F">
        <w:t>to</w:t>
      </w:r>
      <w:r w:rsidR="00BD68F3" w:rsidRPr="00790B5F">
        <w:t xml:space="preserve"> </w:t>
      </w:r>
      <w:r w:rsidR="00262DE7" w:rsidRPr="00790B5F">
        <w:t xml:space="preserve">serve while continuing to improve customer experience. </w:t>
      </w:r>
      <w:r w:rsidRPr="00790B5F">
        <w:t>Executive education and workshops helped the</w:t>
      </w:r>
      <w:r w:rsidR="003E6814" w:rsidRPr="00790B5F">
        <w:t xml:space="preserve"> tea</w:t>
      </w:r>
      <w:r w:rsidRPr="00790B5F">
        <w:t xml:space="preserve">m </w:t>
      </w:r>
      <w:r w:rsidR="001A0A65" w:rsidRPr="00790B5F">
        <w:t>align on</w:t>
      </w:r>
      <w:r w:rsidRPr="00790B5F">
        <w:t xml:space="preserve"> a common language to guide customer-facing efforts </w:t>
      </w:r>
      <w:r w:rsidR="001A0A65" w:rsidRPr="00790B5F">
        <w:t xml:space="preserve">in </w:t>
      </w:r>
      <w:r w:rsidRPr="00790B5F">
        <w:t>develop</w:t>
      </w:r>
      <w:r w:rsidR="001A0A65" w:rsidRPr="00790B5F">
        <w:t>ing</w:t>
      </w:r>
      <w:r w:rsidRPr="00790B5F">
        <w:t xml:space="preserve"> </w:t>
      </w:r>
      <w:r w:rsidR="001A0A65" w:rsidRPr="00790B5F">
        <w:t xml:space="preserve">the CEMEX Go </w:t>
      </w:r>
      <w:r w:rsidRPr="00790B5F">
        <w:t>platform</w:t>
      </w:r>
      <w:r w:rsidR="008D2621" w:rsidRPr="00790B5F">
        <w:t>,</w:t>
      </w:r>
      <w:r w:rsidR="003E6814" w:rsidRPr="00790B5F">
        <w:t xml:space="preserve"> </w:t>
      </w:r>
      <w:r w:rsidR="00D16B27" w:rsidRPr="00790B5F">
        <w:t>which the company launched in 2017</w:t>
      </w:r>
      <w:r w:rsidRPr="00790B5F">
        <w:t xml:space="preserve">. </w:t>
      </w:r>
    </w:p>
    <w:p w14:paraId="516C8C06" w14:textId="77777777" w:rsidR="00F17391" w:rsidRPr="00790B5F" w:rsidRDefault="00F17391" w:rsidP="00790B5F"/>
    <w:p w14:paraId="035163BF" w14:textId="1BD81DA7" w:rsidR="00BC1438" w:rsidRPr="00790B5F" w:rsidRDefault="00980570" w:rsidP="00790B5F">
      <w:r w:rsidRPr="00790B5F">
        <w:t xml:space="preserve">CEO Gonzalez </w:t>
      </w:r>
      <w:r w:rsidR="002819E5" w:rsidRPr="00790B5F">
        <w:t xml:space="preserve">and the executive team </w:t>
      </w:r>
      <w:r w:rsidRPr="00790B5F">
        <w:t xml:space="preserve">anticipated the explosions </w:t>
      </w:r>
      <w:r w:rsidR="003F3DFC" w:rsidRPr="00790B5F">
        <w:t>and pursued efforts to</w:t>
      </w:r>
      <w:r w:rsidRPr="00790B5F">
        <w:t xml:space="preserve"> </w:t>
      </w:r>
      <w:r w:rsidR="003F3DFC" w:rsidRPr="00790B5F">
        <w:t xml:space="preserve">manage them, including </w:t>
      </w:r>
      <w:r w:rsidRPr="00790B5F">
        <w:t>creating a process for the transformation</w:t>
      </w:r>
      <w:r w:rsidR="003F3DFC" w:rsidRPr="00790B5F">
        <w:t>,</w:t>
      </w:r>
      <w:r w:rsidR="006D7BA6" w:rsidRPr="00790B5F">
        <w:t xml:space="preserve"> </w:t>
      </w:r>
      <w:r w:rsidR="00AA26B3" w:rsidRPr="00790B5F">
        <w:t>connect</w:t>
      </w:r>
      <w:r w:rsidR="006D7BA6" w:rsidRPr="00790B5F">
        <w:t>ing</w:t>
      </w:r>
      <w:r w:rsidR="00AA26B3" w:rsidRPr="00790B5F">
        <w:t xml:space="preserve"> IT and the business</w:t>
      </w:r>
      <w:r w:rsidR="003F3DFC" w:rsidRPr="00790B5F">
        <w:t xml:space="preserve">, naming </w:t>
      </w:r>
      <w:r w:rsidR="00AA26B3" w:rsidRPr="00790B5F">
        <w:t>CEMEX Go the institutional platform for the digital transformation in the commercial space</w:t>
      </w:r>
      <w:r w:rsidR="003F3DFC" w:rsidRPr="00790B5F">
        <w:t>,</w:t>
      </w:r>
      <w:r w:rsidR="00AA26B3" w:rsidRPr="00790B5F">
        <w:t xml:space="preserve"> and </w:t>
      </w:r>
      <w:r w:rsidR="003F3DFC" w:rsidRPr="00790B5F">
        <w:t xml:space="preserve">establishing </w:t>
      </w:r>
      <w:r w:rsidR="00AA26B3" w:rsidRPr="00790B5F">
        <w:t xml:space="preserve">agile teams to develop platform services. </w:t>
      </w:r>
      <w:r w:rsidR="00B203B7" w:rsidRPr="00790B5F">
        <w:t>T</w:t>
      </w:r>
      <w:r w:rsidR="006364D8" w:rsidRPr="00790B5F">
        <w:t xml:space="preserve">o guide </w:t>
      </w:r>
      <w:r w:rsidR="00A0526C" w:rsidRPr="00790B5F">
        <w:t xml:space="preserve">employees regarding </w:t>
      </w:r>
      <w:r w:rsidR="006364D8" w:rsidRPr="00790B5F">
        <w:t>the resulting cultur</w:t>
      </w:r>
      <w:r w:rsidR="0016171D" w:rsidRPr="00790B5F">
        <w:t>al</w:t>
      </w:r>
      <w:r w:rsidR="006364D8" w:rsidRPr="00790B5F">
        <w:t xml:space="preserve"> changes, t</w:t>
      </w:r>
      <w:r w:rsidR="00B203B7" w:rsidRPr="00790B5F">
        <w:t xml:space="preserve">hey </w:t>
      </w:r>
      <w:r w:rsidR="006364D8" w:rsidRPr="00790B5F">
        <w:t>defined</w:t>
      </w:r>
      <w:r w:rsidR="003C7EC6" w:rsidRPr="00790B5F">
        <w:t xml:space="preserve"> </w:t>
      </w:r>
      <w:r w:rsidR="00BC1438" w:rsidRPr="00790B5F">
        <w:t>a “digital mindset” with five components</w:t>
      </w:r>
      <w:r w:rsidR="00B203B7" w:rsidRPr="00790B5F">
        <w:t xml:space="preserve">: </w:t>
      </w:r>
      <w:r w:rsidR="00117B3F" w:rsidRPr="00790B5F">
        <w:t xml:space="preserve">(1) a </w:t>
      </w:r>
      <w:r w:rsidR="00BC1438" w:rsidRPr="00790B5F">
        <w:t xml:space="preserve">focus on customer centricity and customer journeys, </w:t>
      </w:r>
      <w:r w:rsidR="00117B3F" w:rsidRPr="00790B5F">
        <w:t xml:space="preserve">(2) </w:t>
      </w:r>
      <w:r w:rsidR="00BC1438" w:rsidRPr="00790B5F">
        <w:t xml:space="preserve">iterative (time-boxed) work processes, </w:t>
      </w:r>
      <w:r w:rsidR="00117B3F" w:rsidRPr="00790B5F">
        <w:t xml:space="preserve">(3) </w:t>
      </w:r>
      <w:r w:rsidR="00BC1438" w:rsidRPr="00790B5F">
        <w:t xml:space="preserve">collaborative work habits that transcend silos and hierarchies, </w:t>
      </w:r>
      <w:r w:rsidR="00117B3F" w:rsidRPr="00790B5F">
        <w:t>(</w:t>
      </w:r>
      <w:r w:rsidR="004162F9" w:rsidRPr="00790B5F">
        <w:t>4</w:t>
      </w:r>
      <w:r w:rsidR="00117B3F" w:rsidRPr="00790B5F">
        <w:t xml:space="preserve">) </w:t>
      </w:r>
      <w:r w:rsidR="006D7BA6" w:rsidRPr="00790B5F">
        <w:t>test and learn environments that foster experimentation</w:t>
      </w:r>
      <w:r w:rsidR="004162F9" w:rsidRPr="00790B5F">
        <w:t>, and (5) embracing continuous change</w:t>
      </w:r>
      <w:r w:rsidR="00BC1438" w:rsidRPr="00790B5F">
        <w:t xml:space="preserve">. </w:t>
      </w:r>
    </w:p>
    <w:p w14:paraId="07DFA21E" w14:textId="77777777" w:rsidR="00BC1438" w:rsidRPr="00790B5F" w:rsidRDefault="00BC1438" w:rsidP="00790B5F"/>
    <w:p w14:paraId="41039213" w14:textId="252C6A9C" w:rsidR="00346263" w:rsidRPr="00790B5F" w:rsidRDefault="003C7EC6" w:rsidP="00790B5F">
      <w:r w:rsidRPr="00790B5F">
        <w:t>Supported by its purpose, commitment, and management of the explosions</w:t>
      </w:r>
      <w:r w:rsidR="00BC1438" w:rsidRPr="00790B5F">
        <w:t xml:space="preserve">, CEMEX built </w:t>
      </w:r>
      <w:r w:rsidR="008B65E7" w:rsidRPr="00790B5F">
        <w:t>f</w:t>
      </w:r>
      <w:r w:rsidR="00BC64D7" w:rsidRPr="00790B5F">
        <w:t>uture</w:t>
      </w:r>
      <w:r w:rsidR="008B65E7" w:rsidRPr="00790B5F">
        <w:t>-r</w:t>
      </w:r>
      <w:r w:rsidR="00BC64D7" w:rsidRPr="00790B5F">
        <w:t>eady capabilities</w:t>
      </w:r>
      <w:r w:rsidR="001F6048" w:rsidRPr="00790B5F">
        <w:t xml:space="preserve"> such as</w:t>
      </w:r>
      <w:r w:rsidR="00BC64D7" w:rsidRPr="00790B5F">
        <w:t xml:space="preserve"> becoming modular, open, and agile. CEMEX’</w:t>
      </w:r>
      <w:r w:rsidR="001F6048" w:rsidRPr="00790B5F">
        <w:t>s</w:t>
      </w:r>
      <w:r w:rsidR="00BC64D7" w:rsidRPr="00790B5F">
        <w:t xml:space="preserve"> breakthrough initiative CEMEX Go</w:t>
      </w:r>
      <w:r w:rsidR="002708CB" w:rsidRPr="00790B5F">
        <w:t xml:space="preserve">, for which </w:t>
      </w:r>
      <w:r w:rsidR="00BC64D7" w:rsidRPr="00790B5F">
        <w:t>deployment completed in 2019</w:t>
      </w:r>
      <w:r w:rsidR="002708CB" w:rsidRPr="00790B5F">
        <w:t>,</w:t>
      </w:r>
      <w:r w:rsidR="00BC64D7" w:rsidRPr="00790B5F">
        <w:t xml:space="preserve"> </w:t>
      </w:r>
      <w:r w:rsidR="00F435DC" w:rsidRPr="00790B5F">
        <w:t xml:space="preserve">facilitated </w:t>
      </w:r>
      <w:r w:rsidR="00BC64D7" w:rsidRPr="00790B5F">
        <w:t>the full digital customer journey</w:t>
      </w:r>
      <w:r w:rsidR="002708CB" w:rsidRPr="00790B5F">
        <w:t>:</w:t>
      </w:r>
      <w:r w:rsidR="00B203B7" w:rsidRPr="00790B5F">
        <w:t xml:space="preserve"> </w:t>
      </w:r>
      <w:r w:rsidR="00BC64D7" w:rsidRPr="00790B5F">
        <w:t xml:space="preserve">discovering CEMEX, becoming a customer, placing an order, receiving products, receiving invoices, and receiving support. To enable this experience, an important part of the first phase </w:t>
      </w:r>
      <w:r w:rsidR="0029778B" w:rsidRPr="00790B5F">
        <w:t xml:space="preserve">of the transformation </w:t>
      </w:r>
      <w:r w:rsidR="00BC64D7" w:rsidRPr="00790B5F">
        <w:t xml:space="preserve">was integrating CEMEX Go with new </w:t>
      </w:r>
      <w:r w:rsidR="0029778B" w:rsidRPr="00790B5F">
        <w:t xml:space="preserve">systems for </w:t>
      </w:r>
      <w:r w:rsidR="00BC64D7" w:rsidRPr="00790B5F">
        <w:t xml:space="preserve">order fulfillment and </w:t>
      </w:r>
      <w:r w:rsidR="0029778B" w:rsidRPr="00790B5F">
        <w:t xml:space="preserve">customer relationship management </w:t>
      </w:r>
      <w:r w:rsidR="00BC64D7" w:rsidRPr="00790B5F">
        <w:t xml:space="preserve">to replace the </w:t>
      </w:r>
      <w:r w:rsidR="00A0526C" w:rsidRPr="00790B5F">
        <w:t>previously manually</w:t>
      </w:r>
      <w:r w:rsidR="0029778B" w:rsidRPr="00790B5F">
        <w:t xml:space="preserve"> </w:t>
      </w:r>
      <w:r w:rsidR="00BC64D7" w:rsidRPr="00790B5F">
        <w:t xml:space="preserve">assisted back-end processes behind the customer interface. The integration enabled </w:t>
      </w:r>
      <w:r w:rsidR="00A0526C" w:rsidRPr="00790B5F">
        <w:t xml:space="preserve">a </w:t>
      </w:r>
      <w:r w:rsidR="00BC64D7" w:rsidRPr="00790B5F">
        <w:t>new digital con</w:t>
      </w:r>
      <w:r w:rsidR="006E2A5E" w:rsidRPr="00790B5F">
        <w:t>firm</w:t>
      </w:r>
      <w:r w:rsidR="00BC64D7" w:rsidRPr="00790B5F">
        <w:t>ation capability</w:t>
      </w:r>
      <w:r w:rsidR="00B93860" w:rsidRPr="00790B5F">
        <w:t>:</w:t>
      </w:r>
      <w:r w:rsidR="00BC64D7" w:rsidRPr="00790B5F">
        <w:t xml:space="preserve"> an automatic review of inventory, transport, and other components of the customer journey when an order </w:t>
      </w:r>
      <w:r w:rsidR="00B203B7" w:rsidRPr="00790B5F">
        <w:t>is</w:t>
      </w:r>
      <w:r w:rsidR="00BC64D7" w:rsidRPr="00790B5F">
        <w:t xml:space="preserve"> con</w:t>
      </w:r>
      <w:r w:rsidR="006E2A5E" w:rsidRPr="00790B5F">
        <w:t>firm</w:t>
      </w:r>
      <w:r w:rsidR="00BC64D7" w:rsidRPr="00790B5F">
        <w:t>ed online.</w:t>
      </w:r>
      <w:r w:rsidR="00B8508F" w:rsidRPr="00790B5F">
        <w:t xml:space="preserve"> In the second phase, CEMEX reduced complexity and cost to serve by </w:t>
      </w:r>
      <w:r w:rsidR="0016171D" w:rsidRPr="00790B5F">
        <w:t xml:space="preserve">progressing </w:t>
      </w:r>
      <w:r w:rsidR="00B203B7" w:rsidRPr="00790B5F">
        <w:t>this capability</w:t>
      </w:r>
      <w:r w:rsidR="0016171D" w:rsidRPr="00790B5F">
        <w:t xml:space="preserve"> to create </w:t>
      </w:r>
      <w:r w:rsidR="00215C1A" w:rsidRPr="00790B5F">
        <w:t xml:space="preserve">two </w:t>
      </w:r>
      <w:r w:rsidR="00B8508F" w:rsidRPr="00790B5F">
        <w:t xml:space="preserve">new platforms to complement CEMEX Go: </w:t>
      </w:r>
      <w:proofErr w:type="spellStart"/>
      <w:r w:rsidR="00B8508F" w:rsidRPr="00790B5F">
        <w:t>SmartOps</w:t>
      </w:r>
      <w:proofErr w:type="spellEnd"/>
      <w:r w:rsidR="008E78D6" w:rsidRPr="00790B5F">
        <w:t>,</w:t>
      </w:r>
      <w:r w:rsidR="0016171D" w:rsidRPr="00790B5F">
        <w:t xml:space="preserve"> </w:t>
      </w:r>
      <w:r w:rsidR="00B8508F" w:rsidRPr="00790B5F">
        <w:t xml:space="preserve">for </w:t>
      </w:r>
      <w:r w:rsidR="0016171D" w:rsidRPr="00790B5F">
        <w:t>production</w:t>
      </w:r>
      <w:r w:rsidR="00B93860" w:rsidRPr="00790B5F">
        <w:t>;</w:t>
      </w:r>
      <w:r w:rsidR="00B8508F" w:rsidRPr="00790B5F">
        <w:t xml:space="preserve"> and Working Smarter</w:t>
      </w:r>
      <w:r w:rsidR="008E78D6" w:rsidRPr="00790B5F">
        <w:t>,</w:t>
      </w:r>
      <w:r w:rsidR="00B8508F" w:rsidRPr="00790B5F">
        <w:t xml:space="preserve"> to optimize management systems for employees. </w:t>
      </w:r>
      <w:r w:rsidR="00A167CA" w:rsidRPr="00790B5F">
        <w:t xml:space="preserve">By 2022, CEMEX had automated order fulfillment for </w:t>
      </w:r>
      <w:r w:rsidR="008E78D6" w:rsidRPr="00790B5F">
        <w:t xml:space="preserve">its </w:t>
      </w:r>
      <w:r w:rsidR="00A167CA" w:rsidRPr="00790B5F">
        <w:t>cement product</w:t>
      </w:r>
      <w:r w:rsidR="008E78D6" w:rsidRPr="00790B5F">
        <w:t>,</w:t>
      </w:r>
      <w:r w:rsidR="00A167CA" w:rsidRPr="00790B5F">
        <w:t xml:space="preserve"> and was developing </w:t>
      </w:r>
      <w:r w:rsidR="009D4A44" w:rsidRPr="00790B5F">
        <w:t xml:space="preserve">capabilities for </w:t>
      </w:r>
      <w:r w:rsidR="008E78D6" w:rsidRPr="00790B5F">
        <w:t xml:space="preserve">artificial intelligence </w:t>
      </w:r>
      <w:r w:rsidR="00A167CA" w:rsidRPr="00790B5F">
        <w:t xml:space="preserve">and </w:t>
      </w:r>
      <w:r w:rsidR="008E78D6" w:rsidRPr="00790B5F">
        <w:t xml:space="preserve">machine learning </w:t>
      </w:r>
      <w:r w:rsidR="00A167CA" w:rsidRPr="00790B5F">
        <w:t xml:space="preserve">to automate the more complex coordination process for delivering </w:t>
      </w:r>
      <w:r w:rsidR="008E78D6" w:rsidRPr="00790B5F">
        <w:t xml:space="preserve">its </w:t>
      </w:r>
      <w:r w:rsidR="00A167CA" w:rsidRPr="00790B5F">
        <w:t xml:space="preserve">ready-mix concrete </w:t>
      </w:r>
      <w:r w:rsidR="00215C1A" w:rsidRPr="00790B5F">
        <w:t>product, making the</w:t>
      </w:r>
      <w:r w:rsidR="00D739ED" w:rsidRPr="00790B5F">
        <w:t xml:space="preserve"> </w:t>
      </w:r>
      <w:r w:rsidR="00E958E9" w:rsidRPr="00790B5F">
        <w:t>digital confirmation</w:t>
      </w:r>
      <w:r w:rsidR="00215C1A" w:rsidRPr="00790B5F">
        <w:t xml:space="preserve"> capabilit</w:t>
      </w:r>
      <w:r w:rsidR="00D739ED" w:rsidRPr="00790B5F">
        <w:t>y</w:t>
      </w:r>
      <w:r w:rsidR="00215C1A" w:rsidRPr="00790B5F">
        <w:t xml:space="preserve"> </w:t>
      </w:r>
      <w:r w:rsidR="00E958E9" w:rsidRPr="00790B5F">
        <w:t xml:space="preserve">available </w:t>
      </w:r>
      <w:r w:rsidR="00215C1A" w:rsidRPr="00790B5F">
        <w:t xml:space="preserve">across the organization. </w:t>
      </w:r>
    </w:p>
    <w:p w14:paraId="61733019" w14:textId="77777777" w:rsidR="00346263" w:rsidRPr="00790B5F" w:rsidRDefault="00346263" w:rsidP="00790B5F"/>
    <w:p w14:paraId="2F0B491C" w14:textId="2066DCAC" w:rsidR="004771E3" w:rsidRPr="00790B5F" w:rsidRDefault="00EE276B" w:rsidP="00790B5F">
      <w:r w:rsidRPr="00790B5F">
        <w:t xml:space="preserve">CEMEX </w:t>
      </w:r>
      <w:r w:rsidR="00D810FC" w:rsidRPr="00790B5F">
        <w:t xml:space="preserve">quickly accumulated value from customers </w:t>
      </w:r>
      <w:r w:rsidR="00493D76" w:rsidRPr="00790B5F">
        <w:t xml:space="preserve">as the </w:t>
      </w:r>
      <w:r w:rsidR="0014551D" w:rsidRPr="00790B5F">
        <w:t>company</w:t>
      </w:r>
      <w:r w:rsidR="004A27DD" w:rsidRPr="00790B5F">
        <w:t xml:space="preserve"> </w:t>
      </w:r>
      <w:r w:rsidR="00493D76" w:rsidRPr="00790B5F">
        <w:t xml:space="preserve">developed </w:t>
      </w:r>
      <w:r w:rsidRPr="00790B5F">
        <w:t xml:space="preserve">its customer-facing </w:t>
      </w:r>
      <w:r w:rsidR="00493D76" w:rsidRPr="00790B5F">
        <w:t xml:space="preserve">CEMEX Go </w:t>
      </w:r>
      <w:r w:rsidRPr="00790B5F">
        <w:t>platform</w:t>
      </w:r>
      <w:r w:rsidR="00EC5ACD" w:rsidRPr="00790B5F">
        <w:t xml:space="preserve"> </w:t>
      </w:r>
      <w:r w:rsidRPr="00790B5F">
        <w:t xml:space="preserve">and </w:t>
      </w:r>
      <w:r w:rsidR="00493D76" w:rsidRPr="00790B5F">
        <w:t xml:space="preserve">scaled </w:t>
      </w:r>
      <w:r w:rsidRPr="00790B5F">
        <w:t>it worldwide.</w:t>
      </w:r>
      <w:r w:rsidR="00EC5ACD" w:rsidRPr="00790B5F">
        <w:t xml:space="preserve"> </w:t>
      </w:r>
      <w:r w:rsidR="0002043D" w:rsidRPr="00790B5F">
        <w:t>Customers referred to CEMEX Go as a “one-stop shop,” a platform that allowed them to seamlessly place, schedule</w:t>
      </w:r>
      <w:r w:rsidR="00493D76" w:rsidRPr="00790B5F">
        <w:t>,</w:t>
      </w:r>
      <w:r w:rsidR="0002043D" w:rsidRPr="00790B5F">
        <w:t xml:space="preserve"> or adjust an order; receive instant notifications</w:t>
      </w:r>
      <w:r w:rsidR="00493D76" w:rsidRPr="00790B5F">
        <w:t xml:space="preserve"> regarding their order</w:t>
      </w:r>
      <w:r w:rsidR="0002043D" w:rsidRPr="00790B5F">
        <w:t xml:space="preserve">; track delivery trucks in real time; and manage invoices and payments from multiple devices. </w:t>
      </w:r>
      <w:r w:rsidR="00B05664" w:rsidRPr="00790B5F">
        <w:t xml:space="preserve">By 2020, </w:t>
      </w:r>
      <w:r w:rsidR="00493D76" w:rsidRPr="00790B5F">
        <w:t xml:space="preserve">fifty-two </w:t>
      </w:r>
      <w:r w:rsidR="00B05664" w:rsidRPr="00790B5F">
        <w:t xml:space="preserve">percent of </w:t>
      </w:r>
      <w:r w:rsidR="00493D76" w:rsidRPr="00790B5F">
        <w:t xml:space="preserve">CEMEX’s </w:t>
      </w:r>
      <w:r w:rsidR="00B05664" w:rsidRPr="00790B5F">
        <w:lastRenderedPageBreak/>
        <w:t>global sales were processed through CEMEX Go</w:t>
      </w:r>
      <w:r w:rsidR="00493D76" w:rsidRPr="00790B5F">
        <w:t>,</w:t>
      </w:r>
      <w:r w:rsidR="00B05664" w:rsidRPr="00790B5F">
        <w:t xml:space="preserve"> and about </w:t>
      </w:r>
      <w:r w:rsidR="00493D76" w:rsidRPr="00790B5F">
        <w:t xml:space="preserve">ninety </w:t>
      </w:r>
      <w:r w:rsidR="00B05664" w:rsidRPr="00790B5F">
        <w:t>percent of recurring customers used the service.</w:t>
      </w:r>
      <w:r w:rsidR="00C77771" w:rsidRPr="00790B5F">
        <w:t xml:space="preserve"> </w:t>
      </w:r>
      <w:r w:rsidR="00D810FC" w:rsidRPr="00790B5F">
        <w:t xml:space="preserve">The </w:t>
      </w:r>
      <w:r w:rsidR="0014551D" w:rsidRPr="00790B5F">
        <w:t>company</w:t>
      </w:r>
      <w:r w:rsidR="004A27DD" w:rsidRPr="00790B5F">
        <w:t xml:space="preserve"> </w:t>
      </w:r>
      <w:r w:rsidR="00B15D5F" w:rsidRPr="00790B5F">
        <w:t>saw its highest-ever global Net Promoter Score (</w:t>
      </w:r>
      <w:r w:rsidR="00B05664" w:rsidRPr="00790B5F">
        <w:t>NPS</w:t>
      </w:r>
      <w:r w:rsidR="00B15D5F" w:rsidRPr="00790B5F">
        <w:t>)</w:t>
      </w:r>
      <w:r w:rsidR="00B05664" w:rsidRPr="00790B5F">
        <w:t xml:space="preserve"> of 6</w:t>
      </w:r>
      <w:r w:rsidR="00811793" w:rsidRPr="00790B5F">
        <w:t>8</w:t>
      </w:r>
      <w:r w:rsidR="00B15D5F" w:rsidRPr="00790B5F">
        <w:t xml:space="preserve"> in 2020</w:t>
      </w:r>
      <w:r w:rsidR="00811793" w:rsidRPr="00790B5F">
        <w:t xml:space="preserve"> and again in 2021</w:t>
      </w:r>
      <w:r w:rsidR="00B05664" w:rsidRPr="00790B5F">
        <w:t>, an increase from 50 in 2019 and 44 in 2018.</w:t>
      </w:r>
      <w:r w:rsidR="00E958E9" w:rsidRPr="00790B5F">
        <w:t xml:space="preserve"> </w:t>
      </w:r>
    </w:p>
    <w:p w14:paraId="489F3AAC" w14:textId="77777777" w:rsidR="004771E3" w:rsidRPr="00790B5F" w:rsidRDefault="004771E3" w:rsidP="00790B5F"/>
    <w:p w14:paraId="12DFBEFB" w14:textId="17D1DB96" w:rsidR="00A02746" w:rsidRPr="00790B5F" w:rsidRDefault="00BD68F3" w:rsidP="00790B5F">
      <w:r w:rsidRPr="00790B5F">
        <w:t>In the second phase of its transformation, with a</w:t>
      </w:r>
      <w:r w:rsidRPr="00790B5F" w:rsidDel="00BD68F3">
        <w:t xml:space="preserve"> </w:t>
      </w:r>
      <w:r w:rsidR="00E958E9" w:rsidRPr="00790B5F">
        <w:t xml:space="preserve">focus on operational efficiencies and </w:t>
      </w:r>
      <w:r w:rsidRPr="00790B5F">
        <w:t xml:space="preserve">the addition of </w:t>
      </w:r>
      <w:r w:rsidR="00E958E9" w:rsidRPr="00790B5F">
        <w:t xml:space="preserve">digital business models </w:t>
      </w:r>
      <w:r w:rsidRPr="00790B5F">
        <w:t>aimed at</w:t>
      </w:r>
      <w:r w:rsidR="00E958E9" w:rsidRPr="00790B5F">
        <w:t xml:space="preserve"> growth, </w:t>
      </w:r>
      <w:r w:rsidRPr="00790B5F">
        <w:t xml:space="preserve">CEMEX has </w:t>
      </w:r>
      <w:r w:rsidR="00E958E9" w:rsidRPr="00790B5F">
        <w:t>increasingly accumulated value from operations</w:t>
      </w:r>
      <w:r w:rsidRPr="00790B5F">
        <w:t xml:space="preserve">—by </w:t>
      </w:r>
      <w:r w:rsidR="00E958E9" w:rsidRPr="00790B5F">
        <w:t>reducing cost to serve</w:t>
      </w:r>
      <w:r w:rsidRPr="00790B5F">
        <w:t>—</w:t>
      </w:r>
      <w:r w:rsidR="00E958E9" w:rsidRPr="00790B5F">
        <w:t xml:space="preserve">and value from ecosystems. </w:t>
      </w:r>
      <w:r w:rsidR="00097E9C" w:rsidRPr="00790B5F">
        <w:t>For example, CEMEX licens</w:t>
      </w:r>
      <w:r w:rsidR="001F554E" w:rsidRPr="00790B5F">
        <w:t>es</w:t>
      </w:r>
      <w:r w:rsidR="00097E9C" w:rsidRPr="00790B5F">
        <w:t xml:space="preserve"> the CEMEX Go platform to other </w:t>
      </w:r>
      <w:r w:rsidR="006E2A5E" w:rsidRPr="00790B5F">
        <w:t>companies</w:t>
      </w:r>
      <w:r w:rsidR="00097E9C" w:rsidRPr="00790B5F">
        <w:t xml:space="preserve"> in the construction industry</w:t>
      </w:r>
      <w:r w:rsidRPr="00790B5F">
        <w:t>,</w:t>
      </w:r>
      <w:r w:rsidR="00097E9C" w:rsidRPr="00790B5F">
        <w:t xml:space="preserve"> and </w:t>
      </w:r>
      <w:r w:rsidRPr="00790B5F">
        <w:t xml:space="preserve">the company </w:t>
      </w:r>
      <w:r w:rsidR="00097E9C" w:rsidRPr="00790B5F">
        <w:t xml:space="preserve">created </w:t>
      </w:r>
      <w:proofErr w:type="spellStart"/>
      <w:r w:rsidR="00097E9C" w:rsidRPr="00790B5F">
        <w:t>A</w:t>
      </w:r>
      <w:r w:rsidR="00C202A2" w:rsidRPr="00790B5F">
        <w:t>rkik</w:t>
      </w:r>
      <w:proofErr w:type="spellEnd"/>
      <w:r w:rsidR="004F7619" w:rsidRPr="00790B5F">
        <w:t>, a startup</w:t>
      </w:r>
      <w:r w:rsidR="00C202A2" w:rsidRPr="00790B5F">
        <w:t xml:space="preserve"> to commercialize the </w:t>
      </w:r>
      <w:r w:rsidR="009D4A44" w:rsidRPr="00790B5F">
        <w:t>ready</w:t>
      </w:r>
      <w:r w:rsidR="00C202A2" w:rsidRPr="00790B5F">
        <w:t>-</w:t>
      </w:r>
      <w:r w:rsidR="009D4A44" w:rsidRPr="00790B5F">
        <w:t xml:space="preserve">mix management system </w:t>
      </w:r>
      <w:r w:rsidR="00C202A2" w:rsidRPr="00790B5F">
        <w:t>as a service for</w:t>
      </w:r>
      <w:r w:rsidR="001F554E" w:rsidRPr="00790B5F">
        <w:t xml:space="preserve"> CEMEX’s</w:t>
      </w:r>
      <w:r w:rsidR="00C202A2" w:rsidRPr="00790B5F">
        <w:t xml:space="preserve"> independent ready-mix customers who </w:t>
      </w:r>
      <w:r w:rsidR="002330E7" w:rsidRPr="00790B5F">
        <w:t xml:space="preserve">can </w:t>
      </w:r>
      <w:r w:rsidR="00C202A2" w:rsidRPr="00790B5F">
        <w:t>connect with CEMEX Go’s order fulfillment</w:t>
      </w:r>
      <w:r w:rsidR="001F554E" w:rsidRPr="00790B5F">
        <w:t xml:space="preserve"> to improve their own operations</w:t>
      </w:r>
      <w:r w:rsidR="00C202A2" w:rsidRPr="00790B5F">
        <w:t xml:space="preserve">. </w:t>
      </w:r>
    </w:p>
    <w:p w14:paraId="2020C935" w14:textId="77777777" w:rsidR="00D2629D" w:rsidRDefault="00D2629D" w:rsidP="00790B5F"/>
    <w:p w14:paraId="1A37851B" w14:textId="67BB866C" w:rsidR="000C7F8E" w:rsidRPr="00790B5F" w:rsidRDefault="002330E7" w:rsidP="00790B5F">
      <w:r w:rsidRPr="00790B5F">
        <w:t xml:space="preserve">Learning </w:t>
      </w:r>
      <w:r w:rsidR="00C9160B" w:rsidRPr="00790B5F">
        <w:t xml:space="preserve">on </w:t>
      </w:r>
      <w:r w:rsidRPr="00790B5F">
        <w:t xml:space="preserve">the </w:t>
      </w:r>
      <w:r w:rsidR="00C9160B" w:rsidRPr="00790B5F">
        <w:t>Journey Is</w:t>
      </w:r>
      <w:r w:rsidR="00D02CB7" w:rsidRPr="00790B5F">
        <w:t xml:space="preserve"> Key to </w:t>
      </w:r>
      <w:r w:rsidR="00C9160B" w:rsidRPr="00790B5F">
        <w:t>a Successful Transformation</w:t>
      </w:r>
    </w:p>
    <w:p w14:paraId="76938EFD" w14:textId="77777777" w:rsidR="00D22F34" w:rsidRPr="00790B5F" w:rsidRDefault="00D22F34" w:rsidP="00790B5F"/>
    <w:p w14:paraId="7736AB00" w14:textId="0B541BB6" w:rsidR="001A14ED" w:rsidRPr="00790B5F" w:rsidRDefault="00FA7F0C" w:rsidP="00790B5F">
      <w:r w:rsidRPr="00790B5F">
        <w:t xml:space="preserve">When </w:t>
      </w:r>
      <w:r w:rsidR="00EA344A" w:rsidRPr="00790B5F">
        <w:t xml:space="preserve">they </w:t>
      </w:r>
      <w:r w:rsidRPr="00790B5F">
        <w:t xml:space="preserve">get the </w:t>
      </w:r>
      <w:r w:rsidR="00D02CB7" w:rsidRPr="00790B5F">
        <w:t xml:space="preserve">five actions </w:t>
      </w:r>
      <w:r w:rsidRPr="00790B5F">
        <w:t xml:space="preserve">right, </w:t>
      </w:r>
      <w:r w:rsidR="00EA344A" w:rsidRPr="00790B5F">
        <w:t xml:space="preserve">leaders </w:t>
      </w:r>
      <w:r w:rsidRPr="00790B5F">
        <w:t xml:space="preserve">initiate and sustain a profound </w:t>
      </w:r>
      <w:r w:rsidR="00EA344A" w:rsidRPr="00790B5F">
        <w:t xml:space="preserve">organizational </w:t>
      </w:r>
      <w:r w:rsidR="001E2C8E" w:rsidRPr="00790B5F">
        <w:t>transformation and</w:t>
      </w:r>
      <w:r w:rsidR="00EF7540" w:rsidRPr="00790B5F">
        <w:t xml:space="preserve"> </w:t>
      </w:r>
      <w:r w:rsidRPr="00790B5F">
        <w:t xml:space="preserve">culture change </w:t>
      </w:r>
      <w:r w:rsidR="001E2C8E" w:rsidRPr="00790B5F">
        <w:t>to become Future Ready</w:t>
      </w:r>
      <w:r w:rsidR="00D02CB7" w:rsidRPr="00790B5F">
        <w:t>.</w:t>
      </w:r>
      <w:r w:rsidR="004A37C3" w:rsidRPr="00790B5F">
        <w:t xml:space="preserve"> </w:t>
      </w:r>
      <w:r w:rsidR="00D02CB7" w:rsidRPr="00790B5F">
        <w:t xml:space="preserve">To ensure </w:t>
      </w:r>
      <w:r w:rsidR="00506F60" w:rsidRPr="00790B5F">
        <w:t xml:space="preserve">leaders manage </w:t>
      </w:r>
      <w:r w:rsidR="00D02CB7" w:rsidRPr="00790B5F">
        <w:t>change well, we recommend</w:t>
      </w:r>
      <w:r w:rsidRPr="00790B5F">
        <w:t xml:space="preserve"> c</w:t>
      </w:r>
      <w:r w:rsidR="00D02CB7" w:rsidRPr="00790B5F">
        <w:t>reat</w:t>
      </w:r>
      <w:r w:rsidRPr="00790B5F">
        <w:t>ing</w:t>
      </w:r>
      <w:r w:rsidR="00D02CB7" w:rsidRPr="00790B5F">
        <w:t xml:space="preserve"> a learning organization</w:t>
      </w:r>
      <w:r w:rsidR="00EF7540" w:rsidRPr="00790B5F">
        <w:t xml:space="preserve"> </w:t>
      </w:r>
      <w:r w:rsidR="00506F60" w:rsidRPr="00790B5F">
        <w:t>by</w:t>
      </w:r>
      <w:r w:rsidR="004A37C3" w:rsidRPr="00790B5F">
        <w:t xml:space="preserve"> </w:t>
      </w:r>
      <w:r w:rsidR="00EF7540" w:rsidRPr="00790B5F">
        <w:t xml:space="preserve">making progress visible throughout the </w:t>
      </w:r>
      <w:r w:rsidR="0014551D" w:rsidRPr="00790B5F">
        <w:t>company</w:t>
      </w:r>
      <w:r w:rsidR="004A27DD" w:rsidRPr="00790B5F">
        <w:t xml:space="preserve"> </w:t>
      </w:r>
      <w:r w:rsidR="00EF7540" w:rsidRPr="00790B5F">
        <w:t xml:space="preserve">with real-time dashboards </w:t>
      </w:r>
      <w:r w:rsidR="00D872C9" w:rsidRPr="00790B5F">
        <w:t xml:space="preserve">and </w:t>
      </w:r>
      <w:r w:rsidR="00563130" w:rsidRPr="00790B5F">
        <w:t xml:space="preserve">advancing </w:t>
      </w:r>
      <w:r w:rsidR="00EF7540" w:rsidRPr="00790B5F">
        <w:t xml:space="preserve">the employee experience to ensure </w:t>
      </w:r>
      <w:r w:rsidR="00D872C9" w:rsidRPr="00790B5F">
        <w:t xml:space="preserve">employees </w:t>
      </w:r>
      <w:r w:rsidR="008424EA" w:rsidRPr="00790B5F">
        <w:t>can</w:t>
      </w:r>
      <w:r w:rsidR="00EF7540" w:rsidRPr="00790B5F">
        <w:t xml:space="preserve"> </w:t>
      </w:r>
      <w:r w:rsidR="008424EA" w:rsidRPr="00790B5F">
        <w:t xml:space="preserve">adjust to and thrive amidst changes, </w:t>
      </w:r>
      <w:r w:rsidR="00D872C9" w:rsidRPr="00790B5F">
        <w:t xml:space="preserve">then </w:t>
      </w:r>
      <w:r w:rsidR="001E2C8E" w:rsidRPr="00790B5F">
        <w:t xml:space="preserve">iterating </w:t>
      </w:r>
      <w:r w:rsidR="004A37C3" w:rsidRPr="00790B5F">
        <w:t xml:space="preserve">these actions to become </w:t>
      </w:r>
      <w:r w:rsidR="001E2C8E" w:rsidRPr="00790B5F">
        <w:t xml:space="preserve">best </w:t>
      </w:r>
      <w:r w:rsidR="004A37C3" w:rsidRPr="00790B5F">
        <w:t>practices</w:t>
      </w:r>
      <w:r w:rsidR="001E2C8E" w:rsidRPr="00790B5F">
        <w:t>.</w:t>
      </w:r>
      <w:r w:rsidR="001A14ED" w:rsidRPr="00790B5F">
        <w:t xml:space="preserve"> </w:t>
      </w:r>
    </w:p>
    <w:p w14:paraId="074B19BD" w14:textId="77777777" w:rsidR="001A14ED" w:rsidRPr="00790B5F" w:rsidRDefault="001A14ED" w:rsidP="00790B5F"/>
    <w:p w14:paraId="231E9F55" w14:textId="77777777" w:rsidR="00790B5F" w:rsidRPr="005A49A1" w:rsidRDefault="00790B5F" w:rsidP="00790B5F">
      <w:r w:rsidRPr="00203668">
        <w:t>Speaker 1:</w:t>
      </w:r>
      <w:r>
        <w:tab/>
      </w:r>
      <w:r w:rsidRPr="00203668">
        <w:t xml:space="preserve">Thanks for listening to this reading of MIT CISR research, and thanks to the sponsors and patrons who support our work. Get free access to </w:t>
      </w:r>
      <w:r>
        <w:t xml:space="preserve">more </w:t>
      </w:r>
      <w:r w:rsidRPr="00203668">
        <w:t>research on our website at cisr.mit.edu.</w:t>
      </w:r>
    </w:p>
    <w:p w14:paraId="3545840A" w14:textId="77777777" w:rsidR="0028248C" w:rsidRPr="00790B5F" w:rsidRDefault="0028248C" w:rsidP="00790B5F"/>
    <w:sectPr w:rsidR="0028248C" w:rsidRPr="00790B5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B334" w14:textId="77777777" w:rsidR="00CE4D18" w:rsidRDefault="00CE4D18" w:rsidP="006A19ED">
      <w:r>
        <w:separator/>
      </w:r>
    </w:p>
  </w:endnote>
  <w:endnote w:type="continuationSeparator" w:id="0">
    <w:p w14:paraId="6443699D" w14:textId="77777777" w:rsidR="00CE4D18" w:rsidRDefault="00CE4D18" w:rsidP="006A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5275176"/>
      <w:docPartObj>
        <w:docPartGallery w:val="Page Numbers (Bottom of Page)"/>
        <w:docPartUnique/>
      </w:docPartObj>
    </w:sdtPr>
    <w:sdtContent>
      <w:p w14:paraId="476DB697" w14:textId="1BA2B694" w:rsidR="006A19ED" w:rsidRDefault="006A19ED" w:rsidP="006A19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B63DCE" w14:textId="77777777" w:rsidR="006A19ED" w:rsidRDefault="006A19ED" w:rsidP="006A19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8200209"/>
      <w:docPartObj>
        <w:docPartGallery w:val="Page Numbers (Bottom of Page)"/>
        <w:docPartUnique/>
      </w:docPartObj>
    </w:sdtPr>
    <w:sdtContent>
      <w:p w14:paraId="5C8FAAE4" w14:textId="19F9920D" w:rsidR="006A19ED" w:rsidRDefault="006A19ED" w:rsidP="006A19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2D7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FD72ABE" w14:textId="77777777" w:rsidR="006A19ED" w:rsidRDefault="006A19ED" w:rsidP="006A19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4CB7" w14:textId="77777777" w:rsidR="00CE4D18" w:rsidRDefault="00CE4D18" w:rsidP="006A19ED">
      <w:r>
        <w:separator/>
      </w:r>
    </w:p>
  </w:footnote>
  <w:footnote w:type="continuationSeparator" w:id="0">
    <w:p w14:paraId="682DF965" w14:textId="77777777" w:rsidR="00CE4D18" w:rsidRDefault="00CE4D18" w:rsidP="006A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E6E"/>
    <w:multiLevelType w:val="hybridMultilevel"/>
    <w:tmpl w:val="8786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6733"/>
    <w:multiLevelType w:val="hybridMultilevel"/>
    <w:tmpl w:val="B6E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D07"/>
    <w:multiLevelType w:val="hybridMultilevel"/>
    <w:tmpl w:val="CEB2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68CE"/>
    <w:multiLevelType w:val="hybridMultilevel"/>
    <w:tmpl w:val="896C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A4AD2"/>
    <w:multiLevelType w:val="hybridMultilevel"/>
    <w:tmpl w:val="C0A8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04915">
    <w:abstractNumId w:val="4"/>
  </w:num>
  <w:num w:numId="2" w16cid:durableId="1045720360">
    <w:abstractNumId w:val="2"/>
  </w:num>
  <w:num w:numId="3" w16cid:durableId="2020618454">
    <w:abstractNumId w:val="1"/>
  </w:num>
  <w:num w:numId="4" w16cid:durableId="662241324">
    <w:abstractNumId w:val="0"/>
  </w:num>
  <w:num w:numId="5" w16cid:durableId="128234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E4"/>
    <w:rsid w:val="0000074E"/>
    <w:rsid w:val="000019AF"/>
    <w:rsid w:val="00005FE7"/>
    <w:rsid w:val="00007230"/>
    <w:rsid w:val="00014EE5"/>
    <w:rsid w:val="0002043D"/>
    <w:rsid w:val="00025A36"/>
    <w:rsid w:val="000262D5"/>
    <w:rsid w:val="0003116B"/>
    <w:rsid w:val="00031920"/>
    <w:rsid w:val="000406ED"/>
    <w:rsid w:val="000415BA"/>
    <w:rsid w:val="00044A22"/>
    <w:rsid w:val="00052300"/>
    <w:rsid w:val="0005342F"/>
    <w:rsid w:val="0006088C"/>
    <w:rsid w:val="0006608C"/>
    <w:rsid w:val="00082AE4"/>
    <w:rsid w:val="00097E9C"/>
    <w:rsid w:val="000B12B2"/>
    <w:rsid w:val="000C7F8E"/>
    <w:rsid w:val="000D2C92"/>
    <w:rsid w:val="000E1B8A"/>
    <w:rsid w:val="000F54FE"/>
    <w:rsid w:val="000F7BD0"/>
    <w:rsid w:val="001007C1"/>
    <w:rsid w:val="00104F3F"/>
    <w:rsid w:val="00106782"/>
    <w:rsid w:val="00117B3F"/>
    <w:rsid w:val="00120932"/>
    <w:rsid w:val="0012146C"/>
    <w:rsid w:val="001242DE"/>
    <w:rsid w:val="00126945"/>
    <w:rsid w:val="00132E45"/>
    <w:rsid w:val="0013578A"/>
    <w:rsid w:val="0014551D"/>
    <w:rsid w:val="0015499D"/>
    <w:rsid w:val="0016171D"/>
    <w:rsid w:val="00184205"/>
    <w:rsid w:val="00186EEC"/>
    <w:rsid w:val="00190EF0"/>
    <w:rsid w:val="001A0126"/>
    <w:rsid w:val="001A0A65"/>
    <w:rsid w:val="001A14ED"/>
    <w:rsid w:val="001A3570"/>
    <w:rsid w:val="001A45F4"/>
    <w:rsid w:val="001B00AE"/>
    <w:rsid w:val="001C1508"/>
    <w:rsid w:val="001D0A8B"/>
    <w:rsid w:val="001D2820"/>
    <w:rsid w:val="001D30C9"/>
    <w:rsid w:val="001E2C8E"/>
    <w:rsid w:val="001E77E5"/>
    <w:rsid w:val="001F3AF5"/>
    <w:rsid w:val="001F554E"/>
    <w:rsid w:val="001F6048"/>
    <w:rsid w:val="00211B0C"/>
    <w:rsid w:val="00215C1A"/>
    <w:rsid w:val="002330E7"/>
    <w:rsid w:val="00234552"/>
    <w:rsid w:val="00253A9D"/>
    <w:rsid w:val="002556A3"/>
    <w:rsid w:val="00262DE7"/>
    <w:rsid w:val="002658C4"/>
    <w:rsid w:val="002708CB"/>
    <w:rsid w:val="00275115"/>
    <w:rsid w:val="002819E5"/>
    <w:rsid w:val="0028248C"/>
    <w:rsid w:val="00283872"/>
    <w:rsid w:val="00284B80"/>
    <w:rsid w:val="00285374"/>
    <w:rsid w:val="0029544F"/>
    <w:rsid w:val="00295E6E"/>
    <w:rsid w:val="002969A5"/>
    <w:rsid w:val="0029778B"/>
    <w:rsid w:val="002A5765"/>
    <w:rsid w:val="002B50DC"/>
    <w:rsid w:val="002B636E"/>
    <w:rsid w:val="002C02C0"/>
    <w:rsid w:val="002C7717"/>
    <w:rsid w:val="002D73A7"/>
    <w:rsid w:val="002E515D"/>
    <w:rsid w:val="002E6CF2"/>
    <w:rsid w:val="002E7F8E"/>
    <w:rsid w:val="002F3569"/>
    <w:rsid w:val="003114D1"/>
    <w:rsid w:val="00333DF0"/>
    <w:rsid w:val="00346263"/>
    <w:rsid w:val="0035368E"/>
    <w:rsid w:val="00374ECE"/>
    <w:rsid w:val="00382E59"/>
    <w:rsid w:val="0039718E"/>
    <w:rsid w:val="003A0EED"/>
    <w:rsid w:val="003A3AC3"/>
    <w:rsid w:val="003C14FA"/>
    <w:rsid w:val="003C24A3"/>
    <w:rsid w:val="003C6138"/>
    <w:rsid w:val="003C7EC6"/>
    <w:rsid w:val="003D0210"/>
    <w:rsid w:val="003D32F6"/>
    <w:rsid w:val="003D461A"/>
    <w:rsid w:val="003E6814"/>
    <w:rsid w:val="003F3CBA"/>
    <w:rsid w:val="003F3DFC"/>
    <w:rsid w:val="003F5E6B"/>
    <w:rsid w:val="00405638"/>
    <w:rsid w:val="00412F80"/>
    <w:rsid w:val="004162F9"/>
    <w:rsid w:val="00417D3B"/>
    <w:rsid w:val="00443315"/>
    <w:rsid w:val="004443A3"/>
    <w:rsid w:val="00451CF8"/>
    <w:rsid w:val="00462E8E"/>
    <w:rsid w:val="00464744"/>
    <w:rsid w:val="00467778"/>
    <w:rsid w:val="004732EB"/>
    <w:rsid w:val="004771E3"/>
    <w:rsid w:val="00487D5D"/>
    <w:rsid w:val="004902CA"/>
    <w:rsid w:val="00493D76"/>
    <w:rsid w:val="004A27DD"/>
    <w:rsid w:val="004A37C3"/>
    <w:rsid w:val="004B0F3C"/>
    <w:rsid w:val="004B646B"/>
    <w:rsid w:val="004C2D71"/>
    <w:rsid w:val="004C347C"/>
    <w:rsid w:val="004C4D54"/>
    <w:rsid w:val="004D05A7"/>
    <w:rsid w:val="004D4C62"/>
    <w:rsid w:val="004D5E61"/>
    <w:rsid w:val="004D6417"/>
    <w:rsid w:val="004D6F94"/>
    <w:rsid w:val="004E66DE"/>
    <w:rsid w:val="004E7C0E"/>
    <w:rsid w:val="004F5EA6"/>
    <w:rsid w:val="004F7619"/>
    <w:rsid w:val="00504089"/>
    <w:rsid w:val="00505637"/>
    <w:rsid w:val="00506F60"/>
    <w:rsid w:val="00513038"/>
    <w:rsid w:val="0051605F"/>
    <w:rsid w:val="00520DE0"/>
    <w:rsid w:val="00532448"/>
    <w:rsid w:val="0054549B"/>
    <w:rsid w:val="00546C20"/>
    <w:rsid w:val="005531C6"/>
    <w:rsid w:val="00553D35"/>
    <w:rsid w:val="00563130"/>
    <w:rsid w:val="0056674B"/>
    <w:rsid w:val="00566DE0"/>
    <w:rsid w:val="00567DA3"/>
    <w:rsid w:val="00572B01"/>
    <w:rsid w:val="0058622B"/>
    <w:rsid w:val="005A00A9"/>
    <w:rsid w:val="005B02AB"/>
    <w:rsid w:val="005B76F7"/>
    <w:rsid w:val="005E4CFC"/>
    <w:rsid w:val="005F1573"/>
    <w:rsid w:val="005F3463"/>
    <w:rsid w:val="005F5D13"/>
    <w:rsid w:val="00615DCE"/>
    <w:rsid w:val="00627C11"/>
    <w:rsid w:val="00631485"/>
    <w:rsid w:val="00633065"/>
    <w:rsid w:val="006364D8"/>
    <w:rsid w:val="0064057D"/>
    <w:rsid w:val="00640BB1"/>
    <w:rsid w:val="00643BF8"/>
    <w:rsid w:val="00645B5C"/>
    <w:rsid w:val="0065261D"/>
    <w:rsid w:val="00653A41"/>
    <w:rsid w:val="00654E5A"/>
    <w:rsid w:val="00654E77"/>
    <w:rsid w:val="00655AEB"/>
    <w:rsid w:val="00656386"/>
    <w:rsid w:val="00675862"/>
    <w:rsid w:val="00686A00"/>
    <w:rsid w:val="0069283B"/>
    <w:rsid w:val="006971E8"/>
    <w:rsid w:val="006A19ED"/>
    <w:rsid w:val="006A2D4D"/>
    <w:rsid w:val="006A5AA3"/>
    <w:rsid w:val="006B6D19"/>
    <w:rsid w:val="006C061F"/>
    <w:rsid w:val="006C59C2"/>
    <w:rsid w:val="006D1E30"/>
    <w:rsid w:val="006D7BA6"/>
    <w:rsid w:val="006E2A5E"/>
    <w:rsid w:val="006F0293"/>
    <w:rsid w:val="0070035D"/>
    <w:rsid w:val="007022BE"/>
    <w:rsid w:val="00703A98"/>
    <w:rsid w:val="00710B2C"/>
    <w:rsid w:val="00712071"/>
    <w:rsid w:val="00735A83"/>
    <w:rsid w:val="00740AB4"/>
    <w:rsid w:val="00740E60"/>
    <w:rsid w:val="007443E4"/>
    <w:rsid w:val="00746C45"/>
    <w:rsid w:val="00752E12"/>
    <w:rsid w:val="007551E2"/>
    <w:rsid w:val="00755AB9"/>
    <w:rsid w:val="007643ED"/>
    <w:rsid w:val="0076780E"/>
    <w:rsid w:val="00767B77"/>
    <w:rsid w:val="00773DA1"/>
    <w:rsid w:val="00784BFA"/>
    <w:rsid w:val="0078639F"/>
    <w:rsid w:val="00790B5F"/>
    <w:rsid w:val="007B5012"/>
    <w:rsid w:val="007B7712"/>
    <w:rsid w:val="007C5665"/>
    <w:rsid w:val="007C5862"/>
    <w:rsid w:val="007C73E4"/>
    <w:rsid w:val="007C78FE"/>
    <w:rsid w:val="007D6932"/>
    <w:rsid w:val="007D6B80"/>
    <w:rsid w:val="007F01DB"/>
    <w:rsid w:val="007F10EE"/>
    <w:rsid w:val="0080226F"/>
    <w:rsid w:val="00803EA6"/>
    <w:rsid w:val="00804A84"/>
    <w:rsid w:val="00810960"/>
    <w:rsid w:val="008109EC"/>
    <w:rsid w:val="00811793"/>
    <w:rsid w:val="00815C2C"/>
    <w:rsid w:val="00835F60"/>
    <w:rsid w:val="008424EA"/>
    <w:rsid w:val="0084308B"/>
    <w:rsid w:val="008648BA"/>
    <w:rsid w:val="008705E9"/>
    <w:rsid w:val="00877D10"/>
    <w:rsid w:val="00883B0A"/>
    <w:rsid w:val="0088542F"/>
    <w:rsid w:val="00885E71"/>
    <w:rsid w:val="00895B5C"/>
    <w:rsid w:val="00896F3E"/>
    <w:rsid w:val="008A5A0F"/>
    <w:rsid w:val="008B245B"/>
    <w:rsid w:val="008B65E7"/>
    <w:rsid w:val="008C4B51"/>
    <w:rsid w:val="008D2621"/>
    <w:rsid w:val="008D52B7"/>
    <w:rsid w:val="008D53D5"/>
    <w:rsid w:val="008D6DEA"/>
    <w:rsid w:val="008E1439"/>
    <w:rsid w:val="008E19C2"/>
    <w:rsid w:val="008E78D6"/>
    <w:rsid w:val="008E7C3E"/>
    <w:rsid w:val="008F7681"/>
    <w:rsid w:val="00910C55"/>
    <w:rsid w:val="00935ABF"/>
    <w:rsid w:val="00937606"/>
    <w:rsid w:val="00951DF6"/>
    <w:rsid w:val="00952C0B"/>
    <w:rsid w:val="00964701"/>
    <w:rsid w:val="00980570"/>
    <w:rsid w:val="009806C6"/>
    <w:rsid w:val="009816C1"/>
    <w:rsid w:val="00990456"/>
    <w:rsid w:val="00997248"/>
    <w:rsid w:val="009978E9"/>
    <w:rsid w:val="009A3F6E"/>
    <w:rsid w:val="009A400C"/>
    <w:rsid w:val="009A6204"/>
    <w:rsid w:val="009B1C48"/>
    <w:rsid w:val="009B3E29"/>
    <w:rsid w:val="009B6431"/>
    <w:rsid w:val="009B6B86"/>
    <w:rsid w:val="009C55CE"/>
    <w:rsid w:val="009C5BA1"/>
    <w:rsid w:val="009C68CD"/>
    <w:rsid w:val="009C6F88"/>
    <w:rsid w:val="009D39AA"/>
    <w:rsid w:val="009D4A44"/>
    <w:rsid w:val="009D5113"/>
    <w:rsid w:val="009E44C1"/>
    <w:rsid w:val="009F0DCE"/>
    <w:rsid w:val="00A00262"/>
    <w:rsid w:val="00A02746"/>
    <w:rsid w:val="00A02EAA"/>
    <w:rsid w:val="00A0526C"/>
    <w:rsid w:val="00A118F7"/>
    <w:rsid w:val="00A14663"/>
    <w:rsid w:val="00A167CA"/>
    <w:rsid w:val="00A17290"/>
    <w:rsid w:val="00A17993"/>
    <w:rsid w:val="00A24173"/>
    <w:rsid w:val="00A267BA"/>
    <w:rsid w:val="00A26995"/>
    <w:rsid w:val="00A33C4C"/>
    <w:rsid w:val="00A3570E"/>
    <w:rsid w:val="00A50531"/>
    <w:rsid w:val="00A5369C"/>
    <w:rsid w:val="00A64EE4"/>
    <w:rsid w:val="00A81566"/>
    <w:rsid w:val="00A92F88"/>
    <w:rsid w:val="00A94768"/>
    <w:rsid w:val="00AA26B3"/>
    <w:rsid w:val="00AA2B0A"/>
    <w:rsid w:val="00AA6295"/>
    <w:rsid w:val="00AC2C8D"/>
    <w:rsid w:val="00AD1378"/>
    <w:rsid w:val="00AD3239"/>
    <w:rsid w:val="00AF1081"/>
    <w:rsid w:val="00AF2765"/>
    <w:rsid w:val="00AF6750"/>
    <w:rsid w:val="00B00EB1"/>
    <w:rsid w:val="00B05664"/>
    <w:rsid w:val="00B15D5F"/>
    <w:rsid w:val="00B171A6"/>
    <w:rsid w:val="00B203B7"/>
    <w:rsid w:val="00B205C7"/>
    <w:rsid w:val="00B3317D"/>
    <w:rsid w:val="00B41010"/>
    <w:rsid w:val="00B5252B"/>
    <w:rsid w:val="00B55241"/>
    <w:rsid w:val="00B6400F"/>
    <w:rsid w:val="00B6584E"/>
    <w:rsid w:val="00B66FC1"/>
    <w:rsid w:val="00B75E4B"/>
    <w:rsid w:val="00B77AD7"/>
    <w:rsid w:val="00B8508F"/>
    <w:rsid w:val="00B8521F"/>
    <w:rsid w:val="00B86746"/>
    <w:rsid w:val="00B91C2D"/>
    <w:rsid w:val="00B93860"/>
    <w:rsid w:val="00B9469B"/>
    <w:rsid w:val="00B97173"/>
    <w:rsid w:val="00BA2EF1"/>
    <w:rsid w:val="00BA3F17"/>
    <w:rsid w:val="00BA5FC3"/>
    <w:rsid w:val="00BC1438"/>
    <w:rsid w:val="00BC53BD"/>
    <w:rsid w:val="00BC64D7"/>
    <w:rsid w:val="00BD68F3"/>
    <w:rsid w:val="00BE05EF"/>
    <w:rsid w:val="00BE515D"/>
    <w:rsid w:val="00BE5283"/>
    <w:rsid w:val="00BE6F7D"/>
    <w:rsid w:val="00BF1FFA"/>
    <w:rsid w:val="00BF75A8"/>
    <w:rsid w:val="00BF7EC8"/>
    <w:rsid w:val="00C202A2"/>
    <w:rsid w:val="00C31994"/>
    <w:rsid w:val="00C36787"/>
    <w:rsid w:val="00C47B81"/>
    <w:rsid w:val="00C61D2E"/>
    <w:rsid w:val="00C63D26"/>
    <w:rsid w:val="00C64AD0"/>
    <w:rsid w:val="00C71B3E"/>
    <w:rsid w:val="00C75041"/>
    <w:rsid w:val="00C77771"/>
    <w:rsid w:val="00C84048"/>
    <w:rsid w:val="00C9160B"/>
    <w:rsid w:val="00C95FE4"/>
    <w:rsid w:val="00CA22E7"/>
    <w:rsid w:val="00CA3262"/>
    <w:rsid w:val="00CA3789"/>
    <w:rsid w:val="00CA759F"/>
    <w:rsid w:val="00CC1B06"/>
    <w:rsid w:val="00CE4D18"/>
    <w:rsid w:val="00CF1E52"/>
    <w:rsid w:val="00CF5166"/>
    <w:rsid w:val="00CF7987"/>
    <w:rsid w:val="00D017AA"/>
    <w:rsid w:val="00D01A0E"/>
    <w:rsid w:val="00D02CB7"/>
    <w:rsid w:val="00D06A7A"/>
    <w:rsid w:val="00D120C8"/>
    <w:rsid w:val="00D15555"/>
    <w:rsid w:val="00D16B27"/>
    <w:rsid w:val="00D17A33"/>
    <w:rsid w:val="00D20A49"/>
    <w:rsid w:val="00D20DAC"/>
    <w:rsid w:val="00D22F34"/>
    <w:rsid w:val="00D23E7C"/>
    <w:rsid w:val="00D2629D"/>
    <w:rsid w:val="00D31FC3"/>
    <w:rsid w:val="00D33D7A"/>
    <w:rsid w:val="00D37549"/>
    <w:rsid w:val="00D45C20"/>
    <w:rsid w:val="00D479F1"/>
    <w:rsid w:val="00D53726"/>
    <w:rsid w:val="00D55DD4"/>
    <w:rsid w:val="00D7266F"/>
    <w:rsid w:val="00D739ED"/>
    <w:rsid w:val="00D75111"/>
    <w:rsid w:val="00D80969"/>
    <w:rsid w:val="00D810FC"/>
    <w:rsid w:val="00D84278"/>
    <w:rsid w:val="00D872C9"/>
    <w:rsid w:val="00D8753F"/>
    <w:rsid w:val="00D915CB"/>
    <w:rsid w:val="00D93349"/>
    <w:rsid w:val="00D960A0"/>
    <w:rsid w:val="00DA0552"/>
    <w:rsid w:val="00DB5643"/>
    <w:rsid w:val="00DD53D3"/>
    <w:rsid w:val="00DD6CD4"/>
    <w:rsid w:val="00DE228E"/>
    <w:rsid w:val="00E02010"/>
    <w:rsid w:val="00E05F4B"/>
    <w:rsid w:val="00E12255"/>
    <w:rsid w:val="00E16B1E"/>
    <w:rsid w:val="00E20526"/>
    <w:rsid w:val="00E23C0E"/>
    <w:rsid w:val="00E30D08"/>
    <w:rsid w:val="00E33EBD"/>
    <w:rsid w:val="00E404D7"/>
    <w:rsid w:val="00E4642E"/>
    <w:rsid w:val="00E5162C"/>
    <w:rsid w:val="00E52544"/>
    <w:rsid w:val="00E55A3D"/>
    <w:rsid w:val="00E56EE8"/>
    <w:rsid w:val="00E57E38"/>
    <w:rsid w:val="00E81836"/>
    <w:rsid w:val="00E8257A"/>
    <w:rsid w:val="00E91FEA"/>
    <w:rsid w:val="00E92170"/>
    <w:rsid w:val="00E958E9"/>
    <w:rsid w:val="00EA344A"/>
    <w:rsid w:val="00EA63F0"/>
    <w:rsid w:val="00EB0923"/>
    <w:rsid w:val="00EB1757"/>
    <w:rsid w:val="00EC49B1"/>
    <w:rsid w:val="00EC5ACD"/>
    <w:rsid w:val="00EE276B"/>
    <w:rsid w:val="00EF2A37"/>
    <w:rsid w:val="00EF31C7"/>
    <w:rsid w:val="00EF4CE8"/>
    <w:rsid w:val="00EF6E41"/>
    <w:rsid w:val="00EF7540"/>
    <w:rsid w:val="00F0040C"/>
    <w:rsid w:val="00F0254F"/>
    <w:rsid w:val="00F14BDC"/>
    <w:rsid w:val="00F1531B"/>
    <w:rsid w:val="00F17391"/>
    <w:rsid w:val="00F20C1A"/>
    <w:rsid w:val="00F23314"/>
    <w:rsid w:val="00F27EBC"/>
    <w:rsid w:val="00F34D1B"/>
    <w:rsid w:val="00F36381"/>
    <w:rsid w:val="00F435DC"/>
    <w:rsid w:val="00F454BC"/>
    <w:rsid w:val="00F51958"/>
    <w:rsid w:val="00F70E77"/>
    <w:rsid w:val="00F75587"/>
    <w:rsid w:val="00F821E6"/>
    <w:rsid w:val="00F86805"/>
    <w:rsid w:val="00F90A40"/>
    <w:rsid w:val="00F945AD"/>
    <w:rsid w:val="00FA117A"/>
    <w:rsid w:val="00FA2C40"/>
    <w:rsid w:val="00FA7F0C"/>
    <w:rsid w:val="00FB25D2"/>
    <w:rsid w:val="00FB4B51"/>
    <w:rsid w:val="00FB692F"/>
    <w:rsid w:val="00FB6A2D"/>
    <w:rsid w:val="00FD2BAC"/>
    <w:rsid w:val="00FD3DA3"/>
    <w:rsid w:val="00FE3355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F2D3"/>
  <w15:chartTrackingRefBased/>
  <w15:docId w15:val="{CF14932E-5BD9-7E46-881B-E90B5B32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92F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1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9ED"/>
  </w:style>
  <w:style w:type="character" w:styleId="PageNumber">
    <w:name w:val="page number"/>
    <w:basedOn w:val="DefaultParagraphFont"/>
    <w:uiPriority w:val="99"/>
    <w:semiHidden/>
    <w:unhideWhenUsed/>
    <w:rsid w:val="006A19ED"/>
  </w:style>
  <w:style w:type="paragraph" w:styleId="FootnoteText">
    <w:name w:val="footnote text"/>
    <w:basedOn w:val="Normal"/>
    <w:link w:val="FootnoteTextChar"/>
    <w:uiPriority w:val="99"/>
    <w:semiHidden/>
    <w:unhideWhenUsed/>
    <w:rsid w:val="008C4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B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4B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4B51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C4B51"/>
    <w:rPr>
      <w:rFonts w:ascii="Arial" w:hAnsi="Arial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A92F8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454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4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9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20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2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4E5A"/>
  </w:style>
  <w:style w:type="character" w:customStyle="1" w:styleId="Heading1Char">
    <w:name w:val="Heading 1 Char"/>
    <w:basedOn w:val="DefaultParagraphFont"/>
    <w:link w:val="Heading1"/>
    <w:uiPriority w:val="9"/>
    <w:rsid w:val="00B75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5E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C06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1FE08-9708-D447-A95A-98B43837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Sebastian</dc:creator>
  <cp:keywords/>
  <dc:description/>
  <cp:lastModifiedBy>Cheryl A Miller</cp:lastModifiedBy>
  <cp:revision>3</cp:revision>
  <dcterms:created xsi:type="dcterms:W3CDTF">2022-10-18T20:06:00Z</dcterms:created>
  <dcterms:modified xsi:type="dcterms:W3CDTF">2022-10-18T20:23:00Z</dcterms:modified>
</cp:coreProperties>
</file>